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应对贫困户少子深度老龄化特征的后扶贫时期政策建议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摘  要</w:t>
      </w:r>
      <w:r>
        <w:rPr>
          <w:rFonts w:hint="eastAsia" w:ascii="方正仿宋_GBK" w:hAnsi="方正仿宋_GBK" w:eastAsia="方正仿宋_GBK" w:cs="方正仿宋_GBK"/>
          <w:sz w:val="32"/>
          <w:szCs w:val="32"/>
        </w:rPr>
        <w:t>：</w:t>
      </w:r>
      <w:r>
        <w:rPr>
          <w:rFonts w:hint="eastAsia" w:ascii="方正仿宋_GB18030" w:hAnsi="方正仿宋_GB18030" w:eastAsia="方正仿宋_GB18030" w:cs="方正仿宋_GB18030"/>
          <w:sz w:val="32"/>
          <w:szCs w:val="32"/>
        </w:rPr>
        <w:t>基于有效数据的统计分析，少子深度老龄化是当前贫困人口的典型特征。其原因在于贫困人口非常态的婚姻特征，OLS模型证实妇女育龄和男性户主年龄增加都会减少子女数。在性别失衡的婚姻市场中，缺乏竞争优势的贫困家庭通常会陷入“年龄错位式婚姻—家庭人口结构失衡—有效劳动力资源少—家庭负担重—进入市场机会受约束—家庭增收能力弱—贫困动态变化”的处境。因此，后扶贫时代的政策，应从保障个体基本生活转为提升贫困家庭整体发展能力，公共服务投入从“物”向“人”转向；减轻家庭负担，增加劳动力资源融入市场机会；增强就近就地就业机会供给，兼顾照料家庭；将强制性提高人力资本存量作为享受国家优惠政策的前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关键词</w:t>
      </w:r>
      <w:r>
        <w:rPr>
          <w:rFonts w:hint="eastAsia" w:ascii="方正仿宋_GBK" w:hAnsi="方正仿宋_GBK" w:eastAsia="方正仿宋_GBK" w:cs="方正仿宋_GBK"/>
          <w:sz w:val="32"/>
          <w:szCs w:val="32"/>
        </w:rPr>
        <w:t>：</w:t>
      </w:r>
      <w:r>
        <w:rPr>
          <w:rFonts w:hint="eastAsia" w:ascii="方正仿宋_GB18030" w:hAnsi="方正仿宋_GB18030" w:eastAsia="方正仿宋_GB18030" w:cs="方正仿宋_GB18030"/>
          <w:sz w:val="32"/>
          <w:szCs w:val="32"/>
        </w:rPr>
        <w:t>建档立卡；贫困户；婚姻特征；生育力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科学判断人口变动趋势，是后脱贫时代公共政策调适的重要基础。因此，对当前我国实际生育水平进行准确的估计，首要前提的是有高质量的数据。本文根据各县级人民政府官方网站发布的贫困人口公告，获得西北、西南、华南、东北、华中24个县1582家返贫户和11个县28314家脱贫户的年龄等基本信息，以此对农村贫困人口的生育特征进行较为准确的把握，为国家进入后脱贫时代后调适政策提供可靠依据。</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outlineLvl w:val="9"/>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一、贫困人口步入深度老龄化社会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本文以2019年为基期绘制出了相应的人口金字塔图（见图1、图2）说明，当前我国贫困地区返贫户呈“斜葫芦形”，脱贫户呈左伸“茶壶形”。经测算，65岁及以上人口，返贫户和脱贫户分别占比为19.45%、17.36%，均处于深度老龄化末端，尤其是返贫人口即将步入超级老龄化社会。</w:t>
      </w:r>
    </w:p>
    <w:p>
      <w:pPr>
        <w:spacing w:line="360" w:lineRule="auto"/>
        <w:ind w:firstLine="420" w:firstLineChars="200"/>
        <w:rPr>
          <w:rFonts w:ascii="宋体" w:hAnsi="宋体" w:eastAsia="宋体"/>
          <w:sz w:val="24"/>
          <w:szCs w:val="24"/>
        </w:rPr>
      </w:pPr>
      <w:r>
        <w:drawing>
          <wp:inline distT="0" distB="0" distL="0" distR="0">
            <wp:extent cx="2755900" cy="1866900"/>
            <wp:effectExtent l="0" t="0" r="63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drawing>
          <wp:inline distT="0" distB="0" distL="0" distR="0">
            <wp:extent cx="2641600" cy="1860550"/>
            <wp:effectExtent l="0" t="0" r="6350"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隐含其中还有一个关键信息就是分年龄段的性别比。虽然总体男女性别比指数在103-105之间，但是返贫户的“双峰”波动特征和脱贫户“单峰”下滑趋势明显（见图3），具体表现为返贫户的年龄在35-39岁、50-54岁和脱贫户的30-44岁处于高位点。对于脱贫户人口来讲，60岁是男女性别比指数低于100的转折点，而返贫人口则在85岁后。</w:t>
      </w:r>
    </w:p>
    <w:p>
      <w:pPr>
        <w:spacing w:line="360" w:lineRule="auto"/>
        <w:ind w:firstLine="420" w:firstLineChars="200"/>
        <w:rPr>
          <w:rFonts w:ascii="宋体" w:hAnsi="宋体" w:eastAsia="宋体"/>
          <w:sz w:val="24"/>
          <w:szCs w:val="24"/>
        </w:rPr>
      </w:pPr>
      <w:r>
        <w:drawing>
          <wp:inline distT="0" distB="0" distL="0" distR="0">
            <wp:extent cx="5572125" cy="2743200"/>
            <wp:effectExtent l="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二、贫困人口处于中度低生育水平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生育率为总出生数与相应人口中育龄妇女人数之间的比例，亦称育龄妇女生育率。目前关于育龄妇女有两种口径，一种是指15-44岁区间范围的妇女，一种是15-49岁之间的妇女。样本中育龄时间以母亲年龄与第一个子女的年龄差确定。按第一种口径测算，返贫户的生育率为1.746，脱贫户为1.796，分别较中国2017年总和生育率高出4.19%、7.02%；按第二种口径测算，返贫户的生育率为1.745，脱贫户为1.795。可见，两种口径差别不大，按尹文耀等（2013）划分的生育水平层次，属于中度低水平（小于1.8，大于1.5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就生育子女数来看，总体有2.65%的贫困户无子女（未考虑家庭分户），有1个孩子的占41.53%，有2个孩子的占39.78%，有3个孩子的占11.93%，有4个及以上孩子的占4.11%。但是返贫户与脱贫户的子女数存在非常明显差异，前者平均为1.07个，低于后者平均值0.73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从不同结婚年代的生育子女数看，80年代、90年代、新世纪头10年和2010年以后，有1-2个孩子的分别占92.13%、81.73%、79.92%、92.26%，其中有1个孩子的比例为54.76%、31.29%、29.05%、55.75%。也就是说，仅在90年代、新世纪头10年的二孩占比更大。前三个年代主要受国家计划生育政策的调控，而2015年国家实施二孩政策后2010年后结婚的家庭生育二孩的也只是略高于80年代水平。</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三、少子化主要受贫困户主婚姻特征的影响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按照马尔萨斯假定，生育力主要由结婚年龄及同房次数两大基本因素决定。而这一假定的前提是结婚。从样本数据来，返贫户中大龄未婚（28岁及以上）的占16.53%，脱贫户此类群体占16.11%。从已婚的数据来看，脱贫户有9.24%的户主处于离异状态、9.87%的处于丧偶状态；返贫户中则分别占11.99%、8.73%。显然，户主处于正常婚姻状态的占比在64-68%之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18030" w:hAnsi="方正仿宋_GB18030" w:eastAsia="方正仿宋_GB18030" w:cs="方正仿宋_GB18030"/>
          <w:sz w:val="32"/>
          <w:szCs w:val="32"/>
        </w:rPr>
        <w:t>基于马尔斯假说，进一步采用OLS模型对子女数与妇女首胎育龄、男户主年龄、结婚年数的因果关系进行验证。发现：在1‰显著水平下，妇女育龄每增加1岁、子女数减少1.75%，男性户主年龄每增加1岁、子女数减少1.72%；在不显著水平下，婚龄每增加1年，子女数增加0.01%。究其深层次原因，这主要在于贫困人口的“年龄错位”婚配模式。样本中，夫妻年龄差在3岁以上的占36.74%，其中“夫大妻小”型占33.6%、“妻大夫小”型占3.14%；相较而言，返贫户的夫妻平均年龄差（4.2岁）高出脱贫户0.7岁，其中前者夫妻年龄差在4-9岁、10-20岁的占比各为33.4%、8.32%，均比后者高出3个多百分点；从初婚年龄看，总体上大龄结婚（29岁及以上）的达到34.6%，其中返贫户占39.63%，较脱贫户高出5个多百分点。显然，在性别失衡的婚姻市场中，贫困人口受资源和货币的约束，“年龄错位”婚配模式是实现其效应最大化的“理性选择”。这种非常态的婚姻特征也是贫困人口的少子化老龄化的缘由。</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四、增强家庭发展能力应对贫困户少子深度老龄化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bookmarkStart w:id="0" w:name="_GoBack"/>
      <w:r>
        <w:rPr>
          <w:rFonts w:hint="eastAsia" w:ascii="方正仿宋_GB18030" w:hAnsi="方正仿宋_GB18030" w:eastAsia="方正仿宋_GB18030" w:cs="方正仿宋_GB18030"/>
          <w:sz w:val="32"/>
          <w:szCs w:val="32"/>
        </w:rPr>
        <w:t>少子深度老龄化背后所隐藏的问题是非劳动力数多、有效劳动力供给有限。而劳动力资源是农村最基本、最活跃、最具有流动性的生产要素</w:t>
      </w:r>
      <w:r>
        <w:rPr>
          <w:rFonts w:hint="eastAsia" w:ascii="方正仿宋_GB18030" w:hAnsi="方正仿宋_GB18030" w:eastAsia="方正仿宋_GB18030" w:cs="方正仿宋_GB18030"/>
          <w:sz w:val="32"/>
          <w:szCs w:val="32"/>
        </w:rPr>
        <w:endnoteReference w:id="0"/>
      </w:r>
      <w:r>
        <w:rPr>
          <w:rFonts w:hint="eastAsia" w:ascii="方正仿宋_GB18030" w:hAnsi="方正仿宋_GB18030" w:eastAsia="方正仿宋_GB18030" w:cs="方正仿宋_GB18030"/>
          <w:sz w:val="32"/>
          <w:szCs w:val="32"/>
        </w:rPr>
        <w:t>，农户对自己劳动力资源利用的程度决定了农户的收入水平</w:t>
      </w:r>
      <w:r>
        <w:rPr>
          <w:rFonts w:hint="eastAsia" w:ascii="方正仿宋_GB18030" w:hAnsi="方正仿宋_GB18030" w:eastAsia="方正仿宋_GB18030" w:cs="方正仿宋_GB18030"/>
          <w:sz w:val="32"/>
          <w:szCs w:val="32"/>
        </w:rPr>
        <w:endnoteReference w:id="1"/>
      </w:r>
      <w:r>
        <w:rPr>
          <w:rFonts w:hint="eastAsia" w:ascii="方正仿宋_GB18030" w:hAnsi="方正仿宋_GB18030" w:eastAsia="方正仿宋_GB18030" w:cs="方正仿宋_GB18030"/>
          <w:sz w:val="32"/>
          <w:szCs w:val="32"/>
        </w:rPr>
        <w:t>，劳动力流动被普遍认为是一种潜在的提高农村地区农户家庭收入、缓解贫困的有效途径</w:t>
      </w:r>
      <w:r>
        <w:rPr>
          <w:rFonts w:hint="eastAsia" w:ascii="方正仿宋_GB18030" w:hAnsi="方正仿宋_GB18030" w:eastAsia="方正仿宋_GB18030" w:cs="方正仿宋_GB18030"/>
          <w:sz w:val="32"/>
          <w:szCs w:val="32"/>
        </w:rPr>
        <w:endnoteReference w:id="2"/>
      </w:r>
      <w:r>
        <w:rPr>
          <w:rFonts w:hint="eastAsia" w:ascii="方正仿宋_GB18030" w:hAnsi="方正仿宋_GB18030" w:eastAsia="方正仿宋_GB18030" w:cs="方正仿宋_GB18030"/>
          <w:sz w:val="32"/>
          <w:szCs w:val="32"/>
        </w:rPr>
        <w:t>。因此，在性别失衡的婚姻市场中，缺乏竞争优势的贫困家庭通常会陷入“年龄错位式婚姻—家庭人口结构失衡—有效劳动力资源少—家庭负担重—进入市场机会受约束—家庭增收能力弱—贫困动态变化”的处境。为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第一，贫困治理政策的转向。一是进入2020后扶贫时代，贫困治理的重点应从保障个体基本生活转为提升贫困家庭整体发展能力。针对“四二一”家庭（即一对年轻夫妇抚育一个孩子而赡养四位或六位老人）、计生家庭（尤其是80后出生家庭）给予支持保有家庭经济发展能力。二是在未来投入上从“物”向“人”转向，在救助方式上从资助实物、现金转变为加强提供服务和技能培训。各级政府向贫困人口提供的公共服务，都应当专注提升他们的就业能力，改善其就业状态，避免把公共服务当成目标本身。</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第二，减轻家庭负担，增加劳动力资源融入市场机会。既有研究已证实，就业收入在农户收入构成中扮演着越来越重要的角色，外出就业收入占贫困户收入的45.3%，占非贫困户收入的76.9%[</w:t>
      </w:r>
      <w:r>
        <w:rPr>
          <w:rFonts w:hint="eastAsia" w:ascii="方正仿宋_GB18030" w:hAnsi="方正仿宋_GB18030" w:eastAsia="方正仿宋_GB18030" w:cs="方正仿宋_GB18030"/>
          <w:sz w:val="32"/>
          <w:szCs w:val="32"/>
        </w:rPr>
        <w:endnoteReference w:id="3"/>
      </w:r>
      <w:r>
        <w:rPr>
          <w:rFonts w:hint="eastAsia" w:ascii="方正仿宋_GB18030" w:hAnsi="方正仿宋_GB18030" w:eastAsia="方正仿宋_GB18030" w:cs="方正仿宋_GB18030"/>
          <w:sz w:val="32"/>
          <w:szCs w:val="32"/>
        </w:rPr>
        <w:t>]；同时，非劳动力形成的家庭负担显著抑制了劳动力流动，明显减少了外出务工时间（肖泽平，2020）。要统筹中央、地方资源，整合市场、政府、公益组织的资金，设立贫困人口医养基金，在“新家庭计划——家庭发展能力建设”项目基础上实施“贫困家庭发展专项计划”，通过政府购买服务，提供家庭及儿童福利、社会保障、安老（托老）服务、病残护理、高龄老人照料、青少年托护，减轻家庭负担，增加家庭健康劳动力外出就业的机会。鼓励金融机构开发老年照料保险、病患护理保险等产品。在农村社区推进卫生室与幸福院融合，优先将贫困人口、计生家庭老人纳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第三，增强就近就地就业机会供给，兼顾家庭照料。要依据当地的资源禀赋与国家主体功能区的定位，以及新一轮国土空间规划的定位，加快生态资源、历史文化资源等转化为有竞争力的资产；充分利用《中共中央国务院关于新时代推进西部大开发形成新格局的指导意见》精神，根据本地实际，量化更加优惠政策，支持脱贫地区依托生态、温泉、医药材、旅游等资源优势，吸纳社会资本，大力发展医养康养结合养老产业，增加包容性就业机会，实现就地就近就业与照料家庭兼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第四，挖掘贫困人口工作潜能。强制性提高人力资本存量，将技术技能的获得和提高作为贫困户获取国家转移性资源的重要考核内容，并开展持续的系统培训、专家跟踪指导志愿服务，着力加大对成年期易返贫户主的教育、培训，帮助提升自我发展动力。要强化思想和技能教育，通过技能培训、跟师学艺、结对帮扶等途径提高贫困人口的就业能力，不断激活贫困人口对美好生活向往的动力，不断增加收入，改善物质生活和精神生活条件，为成家、立业、生儿育女营造良好的环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第五，加强贫困人口基础信息库建设。在第七次全国人口普查工作中，将原有建档立卡贫困人口列入重点关注课题之一，通过大数据分析研判未来一段时间的贫困人口发展趋势，实时监测贫困家庭劳动力变动和家庭负担情况，杜绝因有能力且因家庭负担重而不能外出务工增收返贫现象发生。</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参考文献：</w:t>
      </w:r>
    </w:p>
    <w:bookmarkEnd w:id="0"/>
    <w:sectPr>
      <w:footerReference r:id="rId4" w:type="default"/>
      <w:endnotePr>
        <w:numFmt w:val="decimal"/>
      </w:endnotePr>
      <w:pgSz w:w="11906" w:h="16838"/>
      <w:pgMar w:top="1984"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jc w:val="both"/>
        <w:rPr>
          <w:rFonts w:ascii="宋体" w:hAnsi="宋体" w:eastAsia="宋体"/>
        </w:rPr>
      </w:pPr>
      <w:r>
        <w:rPr>
          <w:rFonts w:ascii="宋体" w:hAnsi="宋体" w:eastAsia="宋体"/>
        </w:rPr>
        <w:t>[</w:t>
      </w:r>
      <w:r>
        <w:endnoteRef/>
      </w:r>
      <w:r>
        <w:rPr>
          <w:rFonts w:ascii="宋体" w:hAnsi="宋体" w:eastAsia="宋体"/>
        </w:rPr>
        <w:t>]</w:t>
      </w:r>
      <w:r>
        <w:rPr>
          <w:rFonts w:hint="eastAsia" w:ascii="宋体" w:hAnsi="宋体" w:eastAsia="宋体"/>
        </w:rPr>
        <w:t>张曙光</w:t>
      </w:r>
      <w:r>
        <w:rPr>
          <w:rFonts w:ascii="宋体" w:hAnsi="宋体" w:eastAsia="宋体"/>
        </w:rPr>
        <w:t>.程炼.复杂产权论和有效产权论——中国地权变迁的一个分析框架.经济学（季刊）2012（4）：1219-1238</w:t>
      </w:r>
    </w:p>
  </w:endnote>
  <w:endnote w:id="1">
    <w:p>
      <w:pPr>
        <w:pStyle w:val="2"/>
        <w:jc w:val="both"/>
        <w:rPr>
          <w:rFonts w:ascii="宋体" w:hAnsi="宋体" w:eastAsia="宋体"/>
        </w:rPr>
      </w:pPr>
      <w:r>
        <w:rPr>
          <w:rFonts w:ascii="宋体" w:hAnsi="宋体" w:eastAsia="宋体"/>
        </w:rPr>
        <w:t>[</w:t>
      </w:r>
      <w:r>
        <w:endnoteRef/>
      </w:r>
      <w:r>
        <w:rPr>
          <w:rFonts w:ascii="宋体" w:hAnsi="宋体" w:eastAsia="宋体"/>
        </w:rPr>
        <w:t>]曹阳.李庆华.我国农户劳动力配置决策模型及其应用.华中师范大学学报（人文社会科学版）2005（1）：48-53</w:t>
      </w:r>
    </w:p>
  </w:endnote>
  <w:endnote w:id="2">
    <w:p>
      <w:pPr>
        <w:pStyle w:val="2"/>
        <w:jc w:val="both"/>
        <w:rPr>
          <w:rFonts w:ascii="宋体" w:hAnsi="宋体" w:eastAsia="宋体"/>
        </w:rPr>
      </w:pPr>
      <w:r>
        <w:rPr>
          <w:rFonts w:ascii="宋体" w:hAnsi="宋体" w:eastAsia="宋体"/>
        </w:rPr>
        <w:t>[</w:t>
      </w:r>
      <w:r>
        <w:endnoteRef/>
      </w:r>
      <w:r>
        <w:rPr>
          <w:rFonts w:ascii="宋体" w:hAnsi="宋体" w:eastAsia="宋体"/>
        </w:rPr>
        <w:t>]</w:t>
      </w:r>
      <w:r>
        <w:rPr>
          <w:rFonts w:hint="eastAsia" w:ascii="宋体" w:hAnsi="宋体" w:eastAsia="宋体"/>
        </w:rPr>
        <w:t>韩佳丽.王志章.王汉杰.新形势下贫困地区农村劳动力流动的减贫效应研究——基于连片特困地区的经验分析.人口学刊.</w:t>
      </w:r>
      <w:r>
        <w:rPr>
          <w:rFonts w:ascii="宋体" w:hAnsi="宋体" w:eastAsia="宋体"/>
        </w:rPr>
        <w:t>2018</w:t>
      </w:r>
      <w:r>
        <w:rPr>
          <w:rFonts w:hint="eastAsia" w:ascii="宋体" w:hAnsi="宋体" w:eastAsia="宋体"/>
        </w:rPr>
        <w:t>（5）</w:t>
      </w:r>
    </w:p>
  </w:endnote>
  <w:endnote w:id="3">
    <w:p>
      <w:pPr>
        <w:pStyle w:val="2"/>
        <w:jc w:val="both"/>
        <w:rPr>
          <w:rFonts w:ascii="Times New Roman" w:hAnsi="Times New Roman" w:eastAsia="宋体" w:cs="Times New Roman"/>
        </w:rPr>
      </w:pPr>
      <w:r>
        <w:rPr>
          <w:rFonts w:ascii="宋体" w:hAnsi="宋体" w:eastAsia="宋体"/>
        </w:rPr>
        <w:t>[4]张永丽,杨红.西部贫困地区农户致贫因素分析</w:t>
      </w:r>
      <w:r>
        <w:rPr>
          <w:rFonts w:hint="eastAsia" w:ascii="宋体" w:hAnsi="宋体" w:eastAsia="宋体"/>
        </w:rPr>
        <w:t>——</w:t>
      </w:r>
      <w:r>
        <w:rPr>
          <w:rFonts w:ascii="宋体" w:hAnsi="宋体" w:eastAsia="宋体"/>
        </w:rPr>
        <w:t>基于农村家庭结构转变视角</w:t>
      </w:r>
      <w:r>
        <w:rPr>
          <w:rFonts w:hint="eastAsia" w:ascii="宋体" w:hAnsi="宋体" w:eastAsia="宋体"/>
        </w:rPr>
        <w:t>[</w:t>
      </w:r>
      <w:r>
        <w:rPr>
          <w:rFonts w:ascii="宋体" w:hAnsi="宋体" w:eastAsia="宋体"/>
        </w:rPr>
        <w:t>J].社会科学,2018(12):14-24.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 w:name="方正仿宋_GB18030">
    <w:panose1 w:val="03000509000000000000"/>
    <w:charset w:val="86"/>
    <w:family w:val="auto"/>
    <w:pitch w:val="default"/>
    <w:sig w:usb0="00000001" w:usb1="080E0000" w:usb2="00000000" w:usb3="00000000" w:csb0="003C0041" w:csb1="A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337448"/>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3D"/>
    <w:rsid w:val="000249E2"/>
    <w:rsid w:val="000265EB"/>
    <w:rsid w:val="00030737"/>
    <w:rsid w:val="00051BF8"/>
    <w:rsid w:val="00054103"/>
    <w:rsid w:val="00054349"/>
    <w:rsid w:val="00065DF3"/>
    <w:rsid w:val="0007149D"/>
    <w:rsid w:val="00075DA3"/>
    <w:rsid w:val="000771FE"/>
    <w:rsid w:val="00085B06"/>
    <w:rsid w:val="0009303C"/>
    <w:rsid w:val="00097AF2"/>
    <w:rsid w:val="000B58D0"/>
    <w:rsid w:val="000C33A1"/>
    <w:rsid w:val="000C5986"/>
    <w:rsid w:val="000D52E3"/>
    <w:rsid w:val="000E573C"/>
    <w:rsid w:val="000F7DD1"/>
    <w:rsid w:val="00122B7E"/>
    <w:rsid w:val="00132398"/>
    <w:rsid w:val="00140C5F"/>
    <w:rsid w:val="00142CFD"/>
    <w:rsid w:val="00144ACE"/>
    <w:rsid w:val="00150503"/>
    <w:rsid w:val="00152865"/>
    <w:rsid w:val="001603C7"/>
    <w:rsid w:val="001677F3"/>
    <w:rsid w:val="001775A0"/>
    <w:rsid w:val="001811D5"/>
    <w:rsid w:val="001872A3"/>
    <w:rsid w:val="0019054B"/>
    <w:rsid w:val="00192E70"/>
    <w:rsid w:val="001A536C"/>
    <w:rsid w:val="001A747F"/>
    <w:rsid w:val="001B1179"/>
    <w:rsid w:val="001B2C03"/>
    <w:rsid w:val="001B36EE"/>
    <w:rsid w:val="001C3BC5"/>
    <w:rsid w:val="001C607C"/>
    <w:rsid w:val="001D5256"/>
    <w:rsid w:val="001E16BC"/>
    <w:rsid w:val="001E3ECC"/>
    <w:rsid w:val="001F5A0F"/>
    <w:rsid w:val="001F5CC7"/>
    <w:rsid w:val="002059EE"/>
    <w:rsid w:val="00206BE8"/>
    <w:rsid w:val="00220026"/>
    <w:rsid w:val="00224AA0"/>
    <w:rsid w:val="00243983"/>
    <w:rsid w:val="002476D5"/>
    <w:rsid w:val="0025443A"/>
    <w:rsid w:val="00257008"/>
    <w:rsid w:val="00260342"/>
    <w:rsid w:val="0026211A"/>
    <w:rsid w:val="00266B1F"/>
    <w:rsid w:val="002826BF"/>
    <w:rsid w:val="00292B1C"/>
    <w:rsid w:val="00293F52"/>
    <w:rsid w:val="002A59C4"/>
    <w:rsid w:val="002B1648"/>
    <w:rsid w:val="002C7489"/>
    <w:rsid w:val="002D320C"/>
    <w:rsid w:val="002D5084"/>
    <w:rsid w:val="002D7049"/>
    <w:rsid w:val="002F0F31"/>
    <w:rsid w:val="002F5D37"/>
    <w:rsid w:val="00300655"/>
    <w:rsid w:val="003064E8"/>
    <w:rsid w:val="00315AB4"/>
    <w:rsid w:val="00321EBD"/>
    <w:rsid w:val="003528DB"/>
    <w:rsid w:val="00361F86"/>
    <w:rsid w:val="00362885"/>
    <w:rsid w:val="003652EC"/>
    <w:rsid w:val="003667F6"/>
    <w:rsid w:val="00367F2B"/>
    <w:rsid w:val="00371B0C"/>
    <w:rsid w:val="003722CC"/>
    <w:rsid w:val="00373F8C"/>
    <w:rsid w:val="00385DC7"/>
    <w:rsid w:val="0039197F"/>
    <w:rsid w:val="003953F4"/>
    <w:rsid w:val="003A01F9"/>
    <w:rsid w:val="003A3BAF"/>
    <w:rsid w:val="003B6A6F"/>
    <w:rsid w:val="003B7EE1"/>
    <w:rsid w:val="003C29FF"/>
    <w:rsid w:val="003C35A2"/>
    <w:rsid w:val="003D5194"/>
    <w:rsid w:val="003E28C1"/>
    <w:rsid w:val="003E7550"/>
    <w:rsid w:val="003F20B7"/>
    <w:rsid w:val="003F22F0"/>
    <w:rsid w:val="003F2B9E"/>
    <w:rsid w:val="003F7945"/>
    <w:rsid w:val="00402D8B"/>
    <w:rsid w:val="00403D22"/>
    <w:rsid w:val="00412649"/>
    <w:rsid w:val="00423032"/>
    <w:rsid w:val="00424D20"/>
    <w:rsid w:val="00427D66"/>
    <w:rsid w:val="00440602"/>
    <w:rsid w:val="004419D4"/>
    <w:rsid w:val="00444C4B"/>
    <w:rsid w:val="00451B02"/>
    <w:rsid w:val="00454FFF"/>
    <w:rsid w:val="00462055"/>
    <w:rsid w:val="00465284"/>
    <w:rsid w:val="004742DD"/>
    <w:rsid w:val="004A3844"/>
    <w:rsid w:val="004B708C"/>
    <w:rsid w:val="004B7DEF"/>
    <w:rsid w:val="004C09D0"/>
    <w:rsid w:val="004D36A0"/>
    <w:rsid w:val="004E2C2E"/>
    <w:rsid w:val="004E7D53"/>
    <w:rsid w:val="004F15D7"/>
    <w:rsid w:val="004F4661"/>
    <w:rsid w:val="004F5D58"/>
    <w:rsid w:val="00501847"/>
    <w:rsid w:val="00514805"/>
    <w:rsid w:val="0051518A"/>
    <w:rsid w:val="005246BA"/>
    <w:rsid w:val="005321B1"/>
    <w:rsid w:val="00542C23"/>
    <w:rsid w:val="00551CF9"/>
    <w:rsid w:val="00553C4A"/>
    <w:rsid w:val="00561C6F"/>
    <w:rsid w:val="00562FE9"/>
    <w:rsid w:val="005651AB"/>
    <w:rsid w:val="005738A6"/>
    <w:rsid w:val="005775DC"/>
    <w:rsid w:val="00591416"/>
    <w:rsid w:val="0059229C"/>
    <w:rsid w:val="005A748B"/>
    <w:rsid w:val="005B39E8"/>
    <w:rsid w:val="005B6BB0"/>
    <w:rsid w:val="005D1004"/>
    <w:rsid w:val="005D171D"/>
    <w:rsid w:val="005E3559"/>
    <w:rsid w:val="005E38C9"/>
    <w:rsid w:val="005E5640"/>
    <w:rsid w:val="005F658D"/>
    <w:rsid w:val="00614072"/>
    <w:rsid w:val="00620CC6"/>
    <w:rsid w:val="0062662C"/>
    <w:rsid w:val="00630135"/>
    <w:rsid w:val="006307EA"/>
    <w:rsid w:val="00637825"/>
    <w:rsid w:val="006547BD"/>
    <w:rsid w:val="006548D6"/>
    <w:rsid w:val="00677B59"/>
    <w:rsid w:val="00683282"/>
    <w:rsid w:val="00694CC8"/>
    <w:rsid w:val="006A6DA1"/>
    <w:rsid w:val="006D421E"/>
    <w:rsid w:val="006D60F5"/>
    <w:rsid w:val="006F48DD"/>
    <w:rsid w:val="006F6D1D"/>
    <w:rsid w:val="007019FE"/>
    <w:rsid w:val="00703D97"/>
    <w:rsid w:val="007111E0"/>
    <w:rsid w:val="00716017"/>
    <w:rsid w:val="00722AB7"/>
    <w:rsid w:val="00727825"/>
    <w:rsid w:val="00731C92"/>
    <w:rsid w:val="00735152"/>
    <w:rsid w:val="00742821"/>
    <w:rsid w:val="007636F6"/>
    <w:rsid w:val="00765F85"/>
    <w:rsid w:val="00771C12"/>
    <w:rsid w:val="007769E7"/>
    <w:rsid w:val="00782A86"/>
    <w:rsid w:val="00794BC4"/>
    <w:rsid w:val="007A5F49"/>
    <w:rsid w:val="007A6104"/>
    <w:rsid w:val="007C49C9"/>
    <w:rsid w:val="007C76CA"/>
    <w:rsid w:val="007E3AEC"/>
    <w:rsid w:val="007E69ED"/>
    <w:rsid w:val="007E6F51"/>
    <w:rsid w:val="007F3D15"/>
    <w:rsid w:val="007F6ADE"/>
    <w:rsid w:val="0081088D"/>
    <w:rsid w:val="00810B94"/>
    <w:rsid w:val="00823221"/>
    <w:rsid w:val="008243B1"/>
    <w:rsid w:val="00827A41"/>
    <w:rsid w:val="00836BC4"/>
    <w:rsid w:val="00844C98"/>
    <w:rsid w:val="008532CF"/>
    <w:rsid w:val="0087298F"/>
    <w:rsid w:val="00885315"/>
    <w:rsid w:val="0089294D"/>
    <w:rsid w:val="008A34CF"/>
    <w:rsid w:val="008B119F"/>
    <w:rsid w:val="008D3B09"/>
    <w:rsid w:val="00904383"/>
    <w:rsid w:val="00911E6D"/>
    <w:rsid w:val="00930803"/>
    <w:rsid w:val="0094056F"/>
    <w:rsid w:val="00940626"/>
    <w:rsid w:val="00942ABC"/>
    <w:rsid w:val="00947937"/>
    <w:rsid w:val="00976A99"/>
    <w:rsid w:val="00984AC7"/>
    <w:rsid w:val="00996529"/>
    <w:rsid w:val="00996B3C"/>
    <w:rsid w:val="009B228C"/>
    <w:rsid w:val="009B546E"/>
    <w:rsid w:val="009B5A93"/>
    <w:rsid w:val="009B5E1C"/>
    <w:rsid w:val="009C71E1"/>
    <w:rsid w:val="009D657C"/>
    <w:rsid w:val="009F2B96"/>
    <w:rsid w:val="00A07C3B"/>
    <w:rsid w:val="00A10215"/>
    <w:rsid w:val="00A10F8E"/>
    <w:rsid w:val="00A12365"/>
    <w:rsid w:val="00A161B5"/>
    <w:rsid w:val="00A22536"/>
    <w:rsid w:val="00A26995"/>
    <w:rsid w:val="00A344FC"/>
    <w:rsid w:val="00A355DF"/>
    <w:rsid w:val="00A4258F"/>
    <w:rsid w:val="00A43121"/>
    <w:rsid w:val="00A43630"/>
    <w:rsid w:val="00A5019F"/>
    <w:rsid w:val="00A51CE7"/>
    <w:rsid w:val="00A5310B"/>
    <w:rsid w:val="00A57101"/>
    <w:rsid w:val="00A715D1"/>
    <w:rsid w:val="00AA0E19"/>
    <w:rsid w:val="00AA2227"/>
    <w:rsid w:val="00AA2D5C"/>
    <w:rsid w:val="00AA3DDB"/>
    <w:rsid w:val="00AB1375"/>
    <w:rsid w:val="00AB36E4"/>
    <w:rsid w:val="00AB5A0A"/>
    <w:rsid w:val="00AB5AF5"/>
    <w:rsid w:val="00AB6D20"/>
    <w:rsid w:val="00AD2110"/>
    <w:rsid w:val="00AE6490"/>
    <w:rsid w:val="00AF3667"/>
    <w:rsid w:val="00AF71F1"/>
    <w:rsid w:val="00B128A3"/>
    <w:rsid w:val="00B13D30"/>
    <w:rsid w:val="00B31840"/>
    <w:rsid w:val="00B32B35"/>
    <w:rsid w:val="00B340FB"/>
    <w:rsid w:val="00B34DE9"/>
    <w:rsid w:val="00B35389"/>
    <w:rsid w:val="00B411BD"/>
    <w:rsid w:val="00B84571"/>
    <w:rsid w:val="00BA06D0"/>
    <w:rsid w:val="00BA4964"/>
    <w:rsid w:val="00BB6005"/>
    <w:rsid w:val="00BC2D23"/>
    <w:rsid w:val="00BC5611"/>
    <w:rsid w:val="00BC6B1F"/>
    <w:rsid w:val="00BE4D61"/>
    <w:rsid w:val="00BE4E25"/>
    <w:rsid w:val="00BE59BC"/>
    <w:rsid w:val="00BE5AF6"/>
    <w:rsid w:val="00BF1CB1"/>
    <w:rsid w:val="00BF4478"/>
    <w:rsid w:val="00C04B2B"/>
    <w:rsid w:val="00C221E5"/>
    <w:rsid w:val="00C25FF6"/>
    <w:rsid w:val="00C36E22"/>
    <w:rsid w:val="00C50E1C"/>
    <w:rsid w:val="00C54A10"/>
    <w:rsid w:val="00C57213"/>
    <w:rsid w:val="00C746F6"/>
    <w:rsid w:val="00C90E0B"/>
    <w:rsid w:val="00C929C2"/>
    <w:rsid w:val="00C942D1"/>
    <w:rsid w:val="00CA3EF1"/>
    <w:rsid w:val="00CB0273"/>
    <w:rsid w:val="00CB2920"/>
    <w:rsid w:val="00CB476B"/>
    <w:rsid w:val="00CC1E97"/>
    <w:rsid w:val="00CC4443"/>
    <w:rsid w:val="00CC7D91"/>
    <w:rsid w:val="00CE2F0F"/>
    <w:rsid w:val="00CF24BC"/>
    <w:rsid w:val="00CF530A"/>
    <w:rsid w:val="00D06BA7"/>
    <w:rsid w:val="00D102DB"/>
    <w:rsid w:val="00D2717B"/>
    <w:rsid w:val="00D319A8"/>
    <w:rsid w:val="00D340FC"/>
    <w:rsid w:val="00D368E3"/>
    <w:rsid w:val="00D36BED"/>
    <w:rsid w:val="00D3741E"/>
    <w:rsid w:val="00D41834"/>
    <w:rsid w:val="00D42D06"/>
    <w:rsid w:val="00D45522"/>
    <w:rsid w:val="00D45B59"/>
    <w:rsid w:val="00D4763D"/>
    <w:rsid w:val="00D777DF"/>
    <w:rsid w:val="00D8473E"/>
    <w:rsid w:val="00D90204"/>
    <w:rsid w:val="00D937F4"/>
    <w:rsid w:val="00DA2AF4"/>
    <w:rsid w:val="00DA6B99"/>
    <w:rsid w:val="00DB1AC5"/>
    <w:rsid w:val="00DB749D"/>
    <w:rsid w:val="00DC13DA"/>
    <w:rsid w:val="00DC17CA"/>
    <w:rsid w:val="00DC5005"/>
    <w:rsid w:val="00DD4B02"/>
    <w:rsid w:val="00DE1368"/>
    <w:rsid w:val="00DE6AFA"/>
    <w:rsid w:val="00E0530A"/>
    <w:rsid w:val="00E16B65"/>
    <w:rsid w:val="00E274DC"/>
    <w:rsid w:val="00E410DE"/>
    <w:rsid w:val="00E505EF"/>
    <w:rsid w:val="00E56177"/>
    <w:rsid w:val="00E57A48"/>
    <w:rsid w:val="00E62622"/>
    <w:rsid w:val="00E656C3"/>
    <w:rsid w:val="00E6771C"/>
    <w:rsid w:val="00E72FC8"/>
    <w:rsid w:val="00E74264"/>
    <w:rsid w:val="00E742C8"/>
    <w:rsid w:val="00E771E9"/>
    <w:rsid w:val="00E90382"/>
    <w:rsid w:val="00E93123"/>
    <w:rsid w:val="00EA72A4"/>
    <w:rsid w:val="00EA73BD"/>
    <w:rsid w:val="00EA75A0"/>
    <w:rsid w:val="00EB0EDA"/>
    <w:rsid w:val="00EB39E4"/>
    <w:rsid w:val="00EB3F99"/>
    <w:rsid w:val="00EB4860"/>
    <w:rsid w:val="00EE1F5C"/>
    <w:rsid w:val="00EE51ED"/>
    <w:rsid w:val="00EF002A"/>
    <w:rsid w:val="00F129AA"/>
    <w:rsid w:val="00F37DEE"/>
    <w:rsid w:val="00F41B51"/>
    <w:rsid w:val="00F44067"/>
    <w:rsid w:val="00F46249"/>
    <w:rsid w:val="00F46489"/>
    <w:rsid w:val="00F473A6"/>
    <w:rsid w:val="00F607C9"/>
    <w:rsid w:val="00F742C1"/>
    <w:rsid w:val="00F84ECA"/>
    <w:rsid w:val="00FA48A2"/>
    <w:rsid w:val="00FA7659"/>
    <w:rsid w:val="00FC566F"/>
    <w:rsid w:val="00FC59B9"/>
    <w:rsid w:val="00FD1FC8"/>
    <w:rsid w:val="00FD3EC2"/>
    <w:rsid w:val="00FD41DF"/>
    <w:rsid w:val="00FE1D6A"/>
    <w:rsid w:val="00FE4AC0"/>
    <w:rsid w:val="00FF585D"/>
    <w:rsid w:val="19AE66C5"/>
    <w:rsid w:val="3B173D7F"/>
    <w:rsid w:val="42A63044"/>
    <w:rsid w:val="57EC456A"/>
    <w:rsid w:val="7FB3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6"/>
    <w:semiHidden/>
    <w:unhideWhenUsed/>
    <w:uiPriority w:val="99"/>
    <w:pPr>
      <w:snapToGrid w:val="0"/>
      <w:jc w:val="left"/>
    </w:pPr>
  </w:style>
  <w:style w:type="paragraph" w:styleId="3">
    <w:name w:val="Balloon Text"/>
    <w:basedOn w:val="1"/>
    <w:link w:val="17"/>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uiPriority w:val="99"/>
    <w:pPr>
      <w:snapToGrid w:val="0"/>
      <w:jc w:val="left"/>
    </w:pPr>
    <w:rPr>
      <w:sz w:val="18"/>
      <w:szCs w:val="18"/>
    </w:rPr>
  </w:style>
  <w:style w:type="character" w:styleId="8">
    <w:name w:val="endnote reference"/>
    <w:basedOn w:val="7"/>
    <w:semiHidden/>
    <w:unhideWhenUsed/>
    <w:uiPriority w:val="99"/>
    <w:rPr>
      <w:vertAlign w:val="superscript"/>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styleId="10">
    <w:name w:val="footnote reference"/>
    <w:basedOn w:val="7"/>
    <w:semiHidden/>
    <w:unhideWhenUsed/>
    <w:uiPriority w:val="99"/>
    <w:rPr>
      <w:vertAlign w:val="superscript"/>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7"/>
    <w:link w:val="5"/>
    <w:uiPriority w:val="99"/>
    <w:rPr>
      <w:sz w:val="18"/>
      <w:szCs w:val="18"/>
    </w:rPr>
  </w:style>
  <w:style w:type="character" w:customStyle="1" w:styleId="14">
    <w:name w:val="页脚 字符"/>
    <w:basedOn w:val="7"/>
    <w:link w:val="4"/>
    <w:uiPriority w:val="99"/>
    <w:rPr>
      <w:sz w:val="18"/>
      <w:szCs w:val="18"/>
    </w:rPr>
  </w:style>
  <w:style w:type="character" w:customStyle="1" w:styleId="15">
    <w:name w:val="脚注文本 字符"/>
    <w:basedOn w:val="7"/>
    <w:link w:val="6"/>
    <w:semiHidden/>
    <w:uiPriority w:val="99"/>
    <w:rPr>
      <w:sz w:val="18"/>
      <w:szCs w:val="18"/>
    </w:rPr>
  </w:style>
  <w:style w:type="character" w:customStyle="1" w:styleId="16">
    <w:name w:val="尾注文本 字符"/>
    <w:basedOn w:val="7"/>
    <w:link w:val="2"/>
    <w:semiHidden/>
    <w:uiPriority w:val="99"/>
  </w:style>
  <w:style w:type="character" w:customStyle="1" w:styleId="17">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en-US" sz="1000" b="0">
                <a:latin typeface="黑体" panose="02010609060101010101" charset="-122"/>
                <a:ea typeface="黑体" panose="02010609060101010101" charset="-122"/>
              </a:rPr>
              <a:t>图</a:t>
            </a:r>
            <a:r>
              <a:rPr lang="en-US" altLang="zh-CN" sz="1000" b="0">
                <a:latin typeface="黑体" panose="02010609060101010101" charset="-122"/>
                <a:ea typeface="黑体" panose="02010609060101010101" charset="-122"/>
              </a:rPr>
              <a:t>1  </a:t>
            </a:r>
            <a:r>
              <a:rPr lang="zh-CN" sz="1000" b="0">
                <a:latin typeface="黑体" panose="02010609060101010101" charset="-122"/>
                <a:ea typeface="黑体" panose="02010609060101010101" charset="-122"/>
              </a:rPr>
              <a:t>返贫户人口金字塔</a:t>
            </a:r>
            <a:endParaRPr lang="zh-CN" sz="1000" b="0">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bar"/>
        <c:grouping val="stacked"/>
        <c:varyColors val="0"/>
        <c:ser>
          <c:idx val="0"/>
          <c:order val="0"/>
          <c:tx>
            <c:strRef>
              <c:f>返贫人口金字塔!$L$6</c:f>
              <c:strCache>
                <c:ptCount val="1"/>
                <c:pt idx="0">
                  <c:v>男</c:v>
                </c:pt>
              </c:strCache>
            </c:strRef>
          </c:tx>
          <c:spPr>
            <a:solidFill>
              <a:schemeClr val="accent1"/>
            </a:solidFill>
            <a:ln>
              <a:noFill/>
            </a:ln>
            <a:effectLst/>
          </c:spPr>
          <c:invertIfNegative val="0"/>
          <c:dLbls>
            <c:delete val="1"/>
          </c:dLbls>
          <c:cat>
            <c:strRef>
              <c:f>返贫人口金字塔!$K$7:$K$26</c:f>
              <c:strCache>
                <c:ptCount val="20"/>
                <c:pt idx="0">
                  <c:v>0-4岁</c:v>
                </c:pt>
                <c:pt idx="1">
                  <c:v>5-9岁</c:v>
                </c:pt>
                <c:pt idx="2">
                  <c:v>10-14岁</c:v>
                </c:pt>
                <c:pt idx="3">
                  <c:v>15-19岁</c:v>
                </c:pt>
                <c:pt idx="4">
                  <c:v>20-24岁</c:v>
                </c:pt>
                <c:pt idx="5">
                  <c:v>25-29岁</c:v>
                </c:pt>
                <c:pt idx="6">
                  <c:v>30-34岁</c:v>
                </c:pt>
                <c:pt idx="7">
                  <c:v>35-39岁</c:v>
                </c:pt>
                <c:pt idx="8">
                  <c:v>40-44岁</c:v>
                </c:pt>
                <c:pt idx="9">
                  <c:v>45-49岁</c:v>
                </c:pt>
                <c:pt idx="10">
                  <c:v>50-54岁</c:v>
                </c:pt>
                <c:pt idx="11">
                  <c:v>55-59岁</c:v>
                </c:pt>
                <c:pt idx="12">
                  <c:v>60-64岁</c:v>
                </c:pt>
                <c:pt idx="13">
                  <c:v>65-69岁</c:v>
                </c:pt>
                <c:pt idx="14">
                  <c:v>70-74岁</c:v>
                </c:pt>
                <c:pt idx="15">
                  <c:v>75-79岁</c:v>
                </c:pt>
                <c:pt idx="16">
                  <c:v>80-84岁</c:v>
                </c:pt>
                <c:pt idx="17">
                  <c:v>85-89岁</c:v>
                </c:pt>
                <c:pt idx="18">
                  <c:v>90-94岁</c:v>
                </c:pt>
                <c:pt idx="19">
                  <c:v>95岁+</c:v>
                </c:pt>
              </c:strCache>
            </c:strRef>
          </c:cat>
          <c:val>
            <c:numRef>
              <c:f>返贫人口金字塔!$L$7:$L$26</c:f>
              <c:numCache>
                <c:formatCode>General</c:formatCode>
                <c:ptCount val="20"/>
                <c:pt idx="0">
                  <c:v>-46</c:v>
                </c:pt>
                <c:pt idx="1">
                  <c:v>-137</c:v>
                </c:pt>
                <c:pt idx="2">
                  <c:v>-184</c:v>
                </c:pt>
                <c:pt idx="3">
                  <c:v>-197</c:v>
                </c:pt>
                <c:pt idx="4">
                  <c:v>-186</c:v>
                </c:pt>
                <c:pt idx="5">
                  <c:v>-144</c:v>
                </c:pt>
                <c:pt idx="6">
                  <c:v>-159</c:v>
                </c:pt>
                <c:pt idx="7">
                  <c:v>-163</c:v>
                </c:pt>
                <c:pt idx="8">
                  <c:v>-215</c:v>
                </c:pt>
                <c:pt idx="9">
                  <c:v>-264</c:v>
                </c:pt>
                <c:pt idx="10">
                  <c:v>-255</c:v>
                </c:pt>
                <c:pt idx="11">
                  <c:v>-150</c:v>
                </c:pt>
                <c:pt idx="12">
                  <c:v>-153</c:v>
                </c:pt>
                <c:pt idx="13">
                  <c:v>-171</c:v>
                </c:pt>
                <c:pt idx="14">
                  <c:v>-134</c:v>
                </c:pt>
                <c:pt idx="15">
                  <c:v>-100</c:v>
                </c:pt>
                <c:pt idx="16">
                  <c:v>-73</c:v>
                </c:pt>
                <c:pt idx="17">
                  <c:v>-20</c:v>
                </c:pt>
                <c:pt idx="18">
                  <c:v>-7</c:v>
                </c:pt>
                <c:pt idx="19">
                  <c:v>-1</c:v>
                </c:pt>
              </c:numCache>
            </c:numRef>
          </c:val>
        </c:ser>
        <c:ser>
          <c:idx val="1"/>
          <c:order val="1"/>
          <c:tx>
            <c:strRef>
              <c:f>返贫人口金字塔!$M$6</c:f>
              <c:strCache>
                <c:ptCount val="1"/>
                <c:pt idx="0">
                  <c:v>女</c:v>
                </c:pt>
              </c:strCache>
            </c:strRef>
          </c:tx>
          <c:spPr>
            <a:solidFill>
              <a:schemeClr val="accent2"/>
            </a:solidFill>
            <a:ln>
              <a:noFill/>
            </a:ln>
            <a:effectLst/>
          </c:spPr>
          <c:invertIfNegative val="0"/>
          <c:dLbls>
            <c:delete val="1"/>
          </c:dLbls>
          <c:cat>
            <c:strRef>
              <c:f>返贫人口金字塔!$K$7:$K$26</c:f>
              <c:strCache>
                <c:ptCount val="20"/>
                <c:pt idx="0">
                  <c:v>0-4岁</c:v>
                </c:pt>
                <c:pt idx="1">
                  <c:v>5-9岁</c:v>
                </c:pt>
                <c:pt idx="2">
                  <c:v>10-14岁</c:v>
                </c:pt>
                <c:pt idx="3">
                  <c:v>15-19岁</c:v>
                </c:pt>
                <c:pt idx="4">
                  <c:v>20-24岁</c:v>
                </c:pt>
                <c:pt idx="5">
                  <c:v>25-29岁</c:v>
                </c:pt>
                <c:pt idx="6">
                  <c:v>30-34岁</c:v>
                </c:pt>
                <c:pt idx="7">
                  <c:v>35-39岁</c:v>
                </c:pt>
                <c:pt idx="8">
                  <c:v>40-44岁</c:v>
                </c:pt>
                <c:pt idx="9">
                  <c:v>45-49岁</c:v>
                </c:pt>
                <c:pt idx="10">
                  <c:v>50-54岁</c:v>
                </c:pt>
                <c:pt idx="11">
                  <c:v>55-59岁</c:v>
                </c:pt>
                <c:pt idx="12">
                  <c:v>60-64岁</c:v>
                </c:pt>
                <c:pt idx="13">
                  <c:v>65-69岁</c:v>
                </c:pt>
                <c:pt idx="14">
                  <c:v>70-74岁</c:v>
                </c:pt>
                <c:pt idx="15">
                  <c:v>75-79岁</c:v>
                </c:pt>
                <c:pt idx="16">
                  <c:v>80-84岁</c:v>
                </c:pt>
                <c:pt idx="17">
                  <c:v>85-89岁</c:v>
                </c:pt>
                <c:pt idx="18">
                  <c:v>90-94岁</c:v>
                </c:pt>
                <c:pt idx="19">
                  <c:v>95岁+</c:v>
                </c:pt>
              </c:strCache>
            </c:strRef>
          </c:cat>
          <c:val>
            <c:numRef>
              <c:f>返贫人口金字塔!$M$7:$M$26</c:f>
              <c:numCache>
                <c:formatCode>General</c:formatCode>
                <c:ptCount val="20"/>
                <c:pt idx="0">
                  <c:v>47</c:v>
                </c:pt>
                <c:pt idx="1">
                  <c:v>152</c:v>
                </c:pt>
                <c:pt idx="2">
                  <c:v>165</c:v>
                </c:pt>
                <c:pt idx="3">
                  <c:v>191</c:v>
                </c:pt>
                <c:pt idx="4">
                  <c:v>196</c:v>
                </c:pt>
                <c:pt idx="5">
                  <c:v>149</c:v>
                </c:pt>
                <c:pt idx="6">
                  <c:v>115</c:v>
                </c:pt>
                <c:pt idx="7">
                  <c:v>95</c:v>
                </c:pt>
                <c:pt idx="8">
                  <c:v>170</c:v>
                </c:pt>
                <c:pt idx="9">
                  <c:v>207</c:v>
                </c:pt>
                <c:pt idx="10">
                  <c:v>156</c:v>
                </c:pt>
                <c:pt idx="11">
                  <c:v>127</c:v>
                </c:pt>
                <c:pt idx="12">
                  <c:v>127</c:v>
                </c:pt>
                <c:pt idx="13">
                  <c:v>155</c:v>
                </c:pt>
                <c:pt idx="14">
                  <c:v>124</c:v>
                </c:pt>
                <c:pt idx="15">
                  <c:v>93</c:v>
                </c:pt>
                <c:pt idx="16">
                  <c:v>66</c:v>
                </c:pt>
                <c:pt idx="17">
                  <c:v>36</c:v>
                </c:pt>
                <c:pt idx="18">
                  <c:v>17</c:v>
                </c:pt>
                <c:pt idx="19">
                  <c:v>5</c:v>
                </c:pt>
              </c:numCache>
            </c:numRef>
          </c:val>
        </c:ser>
        <c:dLbls>
          <c:showLegendKey val="0"/>
          <c:showVal val="0"/>
          <c:showCatName val="0"/>
          <c:showSerName val="0"/>
          <c:showPercent val="0"/>
          <c:showBubbleSize val="0"/>
        </c:dLbls>
        <c:gapWidth val="150"/>
        <c:overlap val="100"/>
        <c:axId val="1245736832"/>
        <c:axId val="1245728128"/>
      </c:barChart>
      <c:catAx>
        <c:axId val="124573683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5728128"/>
        <c:crosses val="autoZero"/>
        <c:auto val="1"/>
        <c:lblAlgn val="ctr"/>
        <c:lblOffset val="100"/>
        <c:noMultiLvlLbl val="0"/>
      </c:catAx>
      <c:valAx>
        <c:axId val="1245728128"/>
        <c:scaling>
          <c:orientation val="minMax"/>
        </c:scaling>
        <c:delete val="0"/>
        <c:axPos val="b"/>
        <c:majorGridlines>
          <c:spPr>
            <a:ln w="9525" cap="flat" cmpd="sng" algn="ctr">
              <a:solidFill>
                <a:schemeClr val="tx1">
                  <a:lumMod val="15000"/>
                  <a:lumOff val="85000"/>
                </a:schemeClr>
              </a:solidFill>
              <a:round/>
            </a:ln>
            <a:effectLst/>
          </c:spPr>
        </c:majorGridlines>
        <c:numFmt formatCode="#,##0;[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5736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en-US" sz="1000">
                <a:latin typeface="黑体" panose="02010609060101010101" charset="-122"/>
                <a:ea typeface="黑体" panose="02010609060101010101" charset="-122"/>
              </a:rPr>
              <a:t>图</a:t>
            </a:r>
            <a:r>
              <a:rPr lang="en-US" altLang="zh-CN" sz="1000">
                <a:latin typeface="黑体" panose="02010609060101010101" charset="-122"/>
                <a:ea typeface="黑体" panose="02010609060101010101" charset="-122"/>
              </a:rPr>
              <a:t>2  </a:t>
            </a:r>
            <a:r>
              <a:rPr lang="zh-CN" altLang="en-US" sz="1000">
                <a:latin typeface="黑体" panose="02010609060101010101" charset="-122"/>
                <a:ea typeface="黑体" panose="02010609060101010101" charset="-122"/>
              </a:rPr>
              <a:t>脱贫人口金字塔</a:t>
            </a:r>
            <a:endParaRPr lang="zh-CN" altLang="en-US" sz="1000">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bar"/>
        <c:grouping val="stacked"/>
        <c:varyColors val="0"/>
        <c:ser>
          <c:idx val="0"/>
          <c:order val="0"/>
          <c:tx>
            <c:strRef>
              <c:f>脱贫户人口金字塔!$M$5</c:f>
              <c:strCache>
                <c:ptCount val="1"/>
                <c:pt idx="0">
                  <c:v>男</c:v>
                </c:pt>
              </c:strCache>
            </c:strRef>
          </c:tx>
          <c:spPr>
            <a:solidFill>
              <a:schemeClr val="accent1"/>
            </a:solidFill>
            <a:ln>
              <a:noFill/>
            </a:ln>
            <a:effectLst/>
          </c:spPr>
          <c:invertIfNegative val="0"/>
          <c:dLbls>
            <c:delete val="1"/>
          </c:dLbls>
          <c:cat>
            <c:strRef>
              <c:f>脱贫户人口金字塔!$L$6:$L$26</c:f>
              <c:strCache>
                <c:ptCount val="21"/>
                <c:pt idx="0">
                  <c:v>0-4岁</c:v>
                </c:pt>
                <c:pt idx="1">
                  <c:v>5-9岁</c:v>
                </c:pt>
                <c:pt idx="2">
                  <c:v>10-14岁</c:v>
                </c:pt>
                <c:pt idx="3">
                  <c:v>15-19岁</c:v>
                </c:pt>
                <c:pt idx="4">
                  <c:v>20-24岁</c:v>
                </c:pt>
                <c:pt idx="5">
                  <c:v>25-29岁</c:v>
                </c:pt>
                <c:pt idx="6">
                  <c:v>30-34岁</c:v>
                </c:pt>
                <c:pt idx="7">
                  <c:v>35-39岁</c:v>
                </c:pt>
                <c:pt idx="8">
                  <c:v>40-44岁</c:v>
                </c:pt>
                <c:pt idx="9">
                  <c:v>45-49岁</c:v>
                </c:pt>
                <c:pt idx="10">
                  <c:v>50-54岁</c:v>
                </c:pt>
                <c:pt idx="11">
                  <c:v>55-59岁</c:v>
                </c:pt>
                <c:pt idx="12">
                  <c:v>60-64岁</c:v>
                </c:pt>
                <c:pt idx="13">
                  <c:v>65-69岁</c:v>
                </c:pt>
                <c:pt idx="14">
                  <c:v>70-74岁</c:v>
                </c:pt>
                <c:pt idx="15">
                  <c:v>75-79岁</c:v>
                </c:pt>
                <c:pt idx="16">
                  <c:v>80-84岁</c:v>
                </c:pt>
                <c:pt idx="17">
                  <c:v>85-89岁</c:v>
                </c:pt>
                <c:pt idx="18">
                  <c:v>90-94岁</c:v>
                </c:pt>
                <c:pt idx="19">
                  <c:v>95-99岁</c:v>
                </c:pt>
                <c:pt idx="20">
                  <c:v>100岁+</c:v>
                </c:pt>
              </c:strCache>
            </c:strRef>
          </c:cat>
          <c:val>
            <c:numRef>
              <c:f>脱贫户人口金字塔!$M$6:$M$26</c:f>
              <c:numCache>
                <c:formatCode>General</c:formatCode>
                <c:ptCount val="21"/>
                <c:pt idx="0">
                  <c:v>-862</c:v>
                </c:pt>
                <c:pt idx="1">
                  <c:v>-3129</c:v>
                </c:pt>
                <c:pt idx="2">
                  <c:v>-3590</c:v>
                </c:pt>
                <c:pt idx="3">
                  <c:v>-3386</c:v>
                </c:pt>
                <c:pt idx="4">
                  <c:v>-3611</c:v>
                </c:pt>
                <c:pt idx="5">
                  <c:v>-3857</c:v>
                </c:pt>
                <c:pt idx="6">
                  <c:v>-4280</c:v>
                </c:pt>
                <c:pt idx="7">
                  <c:v>-4398</c:v>
                </c:pt>
                <c:pt idx="8">
                  <c:v>-4355</c:v>
                </c:pt>
                <c:pt idx="9">
                  <c:v>-4903</c:v>
                </c:pt>
                <c:pt idx="10">
                  <c:v>-4172</c:v>
                </c:pt>
                <c:pt idx="11">
                  <c:v>-2820</c:v>
                </c:pt>
                <c:pt idx="12">
                  <c:v>-2604</c:v>
                </c:pt>
                <c:pt idx="13">
                  <c:v>-2720</c:v>
                </c:pt>
                <c:pt idx="14">
                  <c:v>-2232</c:v>
                </c:pt>
                <c:pt idx="15">
                  <c:v>-1526</c:v>
                </c:pt>
                <c:pt idx="16">
                  <c:v>-861</c:v>
                </c:pt>
                <c:pt idx="17">
                  <c:v>-477</c:v>
                </c:pt>
                <c:pt idx="18">
                  <c:v>-154</c:v>
                </c:pt>
                <c:pt idx="19">
                  <c:v>-38</c:v>
                </c:pt>
                <c:pt idx="20">
                  <c:v>-7</c:v>
                </c:pt>
              </c:numCache>
            </c:numRef>
          </c:val>
        </c:ser>
        <c:ser>
          <c:idx val="1"/>
          <c:order val="1"/>
          <c:tx>
            <c:strRef>
              <c:f>脱贫户人口金字塔!$N$5</c:f>
              <c:strCache>
                <c:ptCount val="1"/>
                <c:pt idx="0">
                  <c:v>女</c:v>
                </c:pt>
              </c:strCache>
            </c:strRef>
          </c:tx>
          <c:spPr>
            <a:solidFill>
              <a:schemeClr val="accent2"/>
            </a:solidFill>
            <a:ln>
              <a:noFill/>
            </a:ln>
            <a:effectLst/>
          </c:spPr>
          <c:invertIfNegative val="0"/>
          <c:dLbls>
            <c:delete val="1"/>
          </c:dLbls>
          <c:cat>
            <c:strRef>
              <c:f>脱贫户人口金字塔!$L$6:$L$26</c:f>
              <c:strCache>
                <c:ptCount val="21"/>
                <c:pt idx="0">
                  <c:v>0-4岁</c:v>
                </c:pt>
                <c:pt idx="1">
                  <c:v>5-9岁</c:v>
                </c:pt>
                <c:pt idx="2">
                  <c:v>10-14岁</c:v>
                </c:pt>
                <c:pt idx="3">
                  <c:v>15-19岁</c:v>
                </c:pt>
                <c:pt idx="4">
                  <c:v>20-24岁</c:v>
                </c:pt>
                <c:pt idx="5">
                  <c:v>25-29岁</c:v>
                </c:pt>
                <c:pt idx="6">
                  <c:v>30-34岁</c:v>
                </c:pt>
                <c:pt idx="7">
                  <c:v>35-39岁</c:v>
                </c:pt>
                <c:pt idx="8">
                  <c:v>40-44岁</c:v>
                </c:pt>
                <c:pt idx="9">
                  <c:v>45-49岁</c:v>
                </c:pt>
                <c:pt idx="10">
                  <c:v>50-54岁</c:v>
                </c:pt>
                <c:pt idx="11">
                  <c:v>55-59岁</c:v>
                </c:pt>
                <c:pt idx="12">
                  <c:v>60-64岁</c:v>
                </c:pt>
                <c:pt idx="13">
                  <c:v>65-69岁</c:v>
                </c:pt>
                <c:pt idx="14">
                  <c:v>70-74岁</c:v>
                </c:pt>
                <c:pt idx="15">
                  <c:v>75-79岁</c:v>
                </c:pt>
                <c:pt idx="16">
                  <c:v>80-84岁</c:v>
                </c:pt>
                <c:pt idx="17">
                  <c:v>85-89岁</c:v>
                </c:pt>
                <c:pt idx="18">
                  <c:v>90-94岁</c:v>
                </c:pt>
                <c:pt idx="19">
                  <c:v>95-99岁</c:v>
                </c:pt>
                <c:pt idx="20">
                  <c:v>100岁+</c:v>
                </c:pt>
              </c:strCache>
            </c:strRef>
          </c:cat>
          <c:val>
            <c:numRef>
              <c:f>脱贫户人口金字塔!$N$6:$N$26</c:f>
              <c:numCache>
                <c:formatCode>General</c:formatCode>
                <c:ptCount val="21"/>
                <c:pt idx="0">
                  <c:v>755</c:v>
                </c:pt>
                <c:pt idx="1">
                  <c:v>2782</c:v>
                </c:pt>
                <c:pt idx="2">
                  <c:v>3201</c:v>
                </c:pt>
                <c:pt idx="3">
                  <c:v>3294</c:v>
                </c:pt>
                <c:pt idx="4">
                  <c:v>3400</c:v>
                </c:pt>
                <c:pt idx="5">
                  <c:v>2952</c:v>
                </c:pt>
                <c:pt idx="6">
                  <c:v>2782</c:v>
                </c:pt>
                <c:pt idx="7">
                  <c:v>2713</c:v>
                </c:pt>
                <c:pt idx="8">
                  <c:v>2899</c:v>
                </c:pt>
                <c:pt idx="9">
                  <c:v>3681</c:v>
                </c:pt>
                <c:pt idx="10">
                  <c:v>3417</c:v>
                </c:pt>
                <c:pt idx="11">
                  <c:v>2719</c:v>
                </c:pt>
                <c:pt idx="12">
                  <c:v>2666</c:v>
                </c:pt>
                <c:pt idx="13">
                  <c:v>2992</c:v>
                </c:pt>
                <c:pt idx="14">
                  <c:v>2572</c:v>
                </c:pt>
                <c:pt idx="15">
                  <c:v>1811</c:v>
                </c:pt>
                <c:pt idx="16">
                  <c:v>1123</c:v>
                </c:pt>
                <c:pt idx="17">
                  <c:v>623</c:v>
                </c:pt>
                <c:pt idx="18">
                  <c:v>250</c:v>
                </c:pt>
                <c:pt idx="19">
                  <c:v>79</c:v>
                </c:pt>
                <c:pt idx="20">
                  <c:v>19</c:v>
                </c:pt>
              </c:numCache>
            </c:numRef>
          </c:val>
        </c:ser>
        <c:dLbls>
          <c:showLegendKey val="0"/>
          <c:showVal val="0"/>
          <c:showCatName val="0"/>
          <c:showSerName val="0"/>
          <c:showPercent val="0"/>
          <c:showBubbleSize val="0"/>
        </c:dLbls>
        <c:gapWidth val="150"/>
        <c:overlap val="100"/>
        <c:axId val="1245740096"/>
        <c:axId val="1245741184"/>
      </c:barChart>
      <c:catAx>
        <c:axId val="124574009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5741184"/>
        <c:crosses val="autoZero"/>
        <c:auto val="1"/>
        <c:lblAlgn val="ctr"/>
        <c:lblOffset val="100"/>
        <c:noMultiLvlLbl val="0"/>
      </c:catAx>
      <c:valAx>
        <c:axId val="1245741184"/>
        <c:scaling>
          <c:orientation val="minMax"/>
        </c:scaling>
        <c:delete val="0"/>
        <c:axPos val="b"/>
        <c:majorGridlines>
          <c:spPr>
            <a:ln w="9525" cap="flat" cmpd="sng" algn="ctr">
              <a:solidFill>
                <a:schemeClr val="tx1">
                  <a:lumMod val="15000"/>
                  <a:lumOff val="85000"/>
                </a:schemeClr>
              </a:solidFill>
              <a:round/>
            </a:ln>
            <a:effectLst/>
          </c:spPr>
        </c:majorGridlines>
        <c:numFmt formatCode="#,##0;[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5740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黑体" panose="02010609060101010101" charset="-122"/>
                <a:ea typeface="黑体" panose="02010609060101010101" charset="-122"/>
                <a:cs typeface="+mn-cs"/>
              </a:defRPr>
            </a:pPr>
            <a:r>
              <a:rPr lang="zh-CN" altLang="en-US" sz="1000">
                <a:latin typeface="黑体" panose="02010609060101010101" charset="-122"/>
                <a:ea typeface="黑体" panose="02010609060101010101" charset="-122"/>
              </a:rPr>
              <a:t>图</a:t>
            </a:r>
            <a:r>
              <a:rPr lang="en-US" altLang="zh-CN" sz="1000">
                <a:latin typeface="黑体" panose="02010609060101010101" charset="-122"/>
                <a:ea typeface="黑体" panose="02010609060101010101" charset="-122"/>
              </a:rPr>
              <a:t>3  </a:t>
            </a:r>
            <a:r>
              <a:rPr lang="zh-CN" altLang="en-US" sz="1000">
                <a:latin typeface="黑体" panose="02010609060101010101" charset="-122"/>
                <a:ea typeface="黑体" panose="02010609060101010101" charset="-122"/>
              </a:rPr>
              <a:t>贫困人口性别比曲线</a:t>
            </a:r>
            <a:endParaRPr lang="zh-CN" altLang="en-US" sz="1000">
              <a:latin typeface="黑体" panose="02010609060101010101" charset="-122"/>
              <a:ea typeface="黑体" panose="02010609060101010101" charset="-122"/>
            </a:endParaRPr>
          </a:p>
        </c:rich>
      </c:tx>
      <c:layout/>
      <c:overlay val="0"/>
      <c:spPr>
        <a:noFill/>
        <a:ln>
          <a:noFill/>
        </a:ln>
        <a:effectLst/>
      </c:spPr>
    </c:title>
    <c:autoTitleDeleted val="0"/>
    <c:plotArea>
      <c:layout/>
      <c:lineChart>
        <c:grouping val="standard"/>
        <c:varyColors val="0"/>
        <c:ser>
          <c:idx val="0"/>
          <c:order val="0"/>
          <c:tx>
            <c:strRef>
              <c:f>Sheet1!$H$1</c:f>
              <c:strCache>
                <c:ptCount val="1"/>
                <c:pt idx="0">
                  <c:v>返贫户</c:v>
                </c:pt>
              </c:strCache>
            </c:strRef>
          </c:tx>
          <c:spPr>
            <a:ln w="28575" cap="rnd">
              <a:solidFill>
                <a:schemeClr val="accent1"/>
              </a:solidFill>
              <a:round/>
            </a:ln>
            <a:effectLst/>
          </c:spPr>
          <c:marker>
            <c:symbol val="none"/>
          </c:marker>
          <c:dLbls>
            <c:delete val="1"/>
          </c:dLbls>
          <c:cat>
            <c:strRef>
              <c:f>Sheet1!$G$2:$G$22</c:f>
              <c:strCache>
                <c:ptCount val="21"/>
                <c:pt idx="0">
                  <c:v>0-4岁</c:v>
                </c:pt>
                <c:pt idx="1">
                  <c:v>5-9岁</c:v>
                </c:pt>
                <c:pt idx="2">
                  <c:v>10-14岁</c:v>
                </c:pt>
                <c:pt idx="3">
                  <c:v>15-19岁</c:v>
                </c:pt>
                <c:pt idx="4">
                  <c:v>20-24岁</c:v>
                </c:pt>
                <c:pt idx="5">
                  <c:v>25-29岁</c:v>
                </c:pt>
                <c:pt idx="6">
                  <c:v>30-34岁</c:v>
                </c:pt>
                <c:pt idx="7">
                  <c:v>35-39岁</c:v>
                </c:pt>
                <c:pt idx="8">
                  <c:v>40-44岁</c:v>
                </c:pt>
                <c:pt idx="9">
                  <c:v>45-49岁</c:v>
                </c:pt>
                <c:pt idx="10">
                  <c:v>50-54岁</c:v>
                </c:pt>
                <c:pt idx="11">
                  <c:v>55-59岁</c:v>
                </c:pt>
                <c:pt idx="12">
                  <c:v>60-64岁</c:v>
                </c:pt>
                <c:pt idx="13">
                  <c:v>65-69岁</c:v>
                </c:pt>
                <c:pt idx="14">
                  <c:v>70-74岁</c:v>
                </c:pt>
                <c:pt idx="15">
                  <c:v>75-79岁</c:v>
                </c:pt>
                <c:pt idx="16">
                  <c:v>80-84岁</c:v>
                </c:pt>
                <c:pt idx="17">
                  <c:v>85-89岁</c:v>
                </c:pt>
                <c:pt idx="18">
                  <c:v>90-94岁</c:v>
                </c:pt>
                <c:pt idx="19">
                  <c:v>95岁+</c:v>
                </c:pt>
                <c:pt idx="20">
                  <c:v>100岁+</c:v>
                </c:pt>
              </c:strCache>
            </c:strRef>
          </c:cat>
          <c:val>
            <c:numRef>
              <c:f>Sheet1!$H$2:$H$22</c:f>
              <c:numCache>
                <c:formatCode>General</c:formatCode>
                <c:ptCount val="21"/>
                <c:pt idx="0">
                  <c:v>0.9787234</c:v>
                </c:pt>
                <c:pt idx="1">
                  <c:v>0.9013158</c:v>
                </c:pt>
                <c:pt idx="2">
                  <c:v>1.1151515</c:v>
                </c:pt>
                <c:pt idx="3">
                  <c:v>1.0314136</c:v>
                </c:pt>
                <c:pt idx="4">
                  <c:v>0.9489796</c:v>
                </c:pt>
                <c:pt idx="5">
                  <c:v>0.966443</c:v>
                </c:pt>
                <c:pt idx="6">
                  <c:v>1.3826087</c:v>
                </c:pt>
                <c:pt idx="7">
                  <c:v>1.7157895</c:v>
                </c:pt>
                <c:pt idx="8">
                  <c:v>1.2647059</c:v>
                </c:pt>
                <c:pt idx="9">
                  <c:v>1.2753623</c:v>
                </c:pt>
                <c:pt idx="10">
                  <c:v>1.6346154</c:v>
                </c:pt>
                <c:pt idx="11">
                  <c:v>1.1811024</c:v>
                </c:pt>
                <c:pt idx="12">
                  <c:v>1.2047244</c:v>
                </c:pt>
                <c:pt idx="13">
                  <c:v>1.1032258</c:v>
                </c:pt>
                <c:pt idx="14">
                  <c:v>1.0806452</c:v>
                </c:pt>
                <c:pt idx="15">
                  <c:v>1.0752688</c:v>
                </c:pt>
                <c:pt idx="16">
                  <c:v>1.1060606</c:v>
                </c:pt>
                <c:pt idx="17">
                  <c:v>0.5555556</c:v>
                </c:pt>
                <c:pt idx="18">
                  <c:v>0.4117647</c:v>
                </c:pt>
                <c:pt idx="19">
                  <c:v>0.2</c:v>
                </c:pt>
              </c:numCache>
            </c:numRef>
          </c:val>
          <c:smooth val="0"/>
        </c:ser>
        <c:ser>
          <c:idx val="1"/>
          <c:order val="1"/>
          <c:tx>
            <c:strRef>
              <c:f>Sheet1!$I$1</c:f>
              <c:strCache>
                <c:ptCount val="1"/>
                <c:pt idx="0">
                  <c:v>脱贫户</c:v>
                </c:pt>
              </c:strCache>
            </c:strRef>
          </c:tx>
          <c:spPr>
            <a:ln w="28575" cap="rnd">
              <a:solidFill>
                <a:schemeClr val="accent2"/>
              </a:solidFill>
              <a:round/>
            </a:ln>
            <a:effectLst/>
          </c:spPr>
          <c:marker>
            <c:symbol val="none"/>
          </c:marker>
          <c:dLbls>
            <c:delete val="1"/>
          </c:dLbls>
          <c:cat>
            <c:strRef>
              <c:f>Sheet1!$G$2:$G$22</c:f>
              <c:strCache>
                <c:ptCount val="21"/>
                <c:pt idx="0">
                  <c:v>0-4岁</c:v>
                </c:pt>
                <c:pt idx="1">
                  <c:v>5-9岁</c:v>
                </c:pt>
                <c:pt idx="2">
                  <c:v>10-14岁</c:v>
                </c:pt>
                <c:pt idx="3">
                  <c:v>15-19岁</c:v>
                </c:pt>
                <c:pt idx="4">
                  <c:v>20-24岁</c:v>
                </c:pt>
                <c:pt idx="5">
                  <c:v>25-29岁</c:v>
                </c:pt>
                <c:pt idx="6">
                  <c:v>30-34岁</c:v>
                </c:pt>
                <c:pt idx="7">
                  <c:v>35-39岁</c:v>
                </c:pt>
                <c:pt idx="8">
                  <c:v>40-44岁</c:v>
                </c:pt>
                <c:pt idx="9">
                  <c:v>45-49岁</c:v>
                </c:pt>
                <c:pt idx="10">
                  <c:v>50-54岁</c:v>
                </c:pt>
                <c:pt idx="11">
                  <c:v>55-59岁</c:v>
                </c:pt>
                <c:pt idx="12">
                  <c:v>60-64岁</c:v>
                </c:pt>
                <c:pt idx="13">
                  <c:v>65-69岁</c:v>
                </c:pt>
                <c:pt idx="14">
                  <c:v>70-74岁</c:v>
                </c:pt>
                <c:pt idx="15">
                  <c:v>75-79岁</c:v>
                </c:pt>
                <c:pt idx="16">
                  <c:v>80-84岁</c:v>
                </c:pt>
                <c:pt idx="17">
                  <c:v>85-89岁</c:v>
                </c:pt>
                <c:pt idx="18">
                  <c:v>90-94岁</c:v>
                </c:pt>
                <c:pt idx="19">
                  <c:v>95岁+</c:v>
                </c:pt>
                <c:pt idx="20">
                  <c:v>100岁+</c:v>
                </c:pt>
              </c:strCache>
            </c:strRef>
          </c:cat>
          <c:val>
            <c:numRef>
              <c:f>Sheet1!$I$2:$I$22</c:f>
              <c:numCache>
                <c:formatCode>General</c:formatCode>
                <c:ptCount val="21"/>
                <c:pt idx="0">
                  <c:v>1.14172</c:v>
                </c:pt>
                <c:pt idx="1">
                  <c:v>1.12473</c:v>
                </c:pt>
                <c:pt idx="2">
                  <c:v>1.12152</c:v>
                </c:pt>
                <c:pt idx="3">
                  <c:v>1.02793</c:v>
                </c:pt>
                <c:pt idx="4">
                  <c:v>1.06206</c:v>
                </c:pt>
                <c:pt idx="5">
                  <c:v>1.30657</c:v>
                </c:pt>
                <c:pt idx="6">
                  <c:v>1.53846</c:v>
                </c:pt>
                <c:pt idx="7">
                  <c:v>1.62108</c:v>
                </c:pt>
                <c:pt idx="8">
                  <c:v>1.50224</c:v>
                </c:pt>
                <c:pt idx="9">
                  <c:v>1.33198</c:v>
                </c:pt>
                <c:pt idx="10">
                  <c:v>1.22095</c:v>
                </c:pt>
                <c:pt idx="11">
                  <c:v>1.03715</c:v>
                </c:pt>
                <c:pt idx="12">
                  <c:v>0.97674</c:v>
                </c:pt>
                <c:pt idx="13">
                  <c:v>0.90909</c:v>
                </c:pt>
                <c:pt idx="14">
                  <c:v>0.86781</c:v>
                </c:pt>
                <c:pt idx="15">
                  <c:v>0.84263</c:v>
                </c:pt>
                <c:pt idx="16">
                  <c:v>0.7667</c:v>
                </c:pt>
                <c:pt idx="17">
                  <c:v>0.76565</c:v>
                </c:pt>
                <c:pt idx="18">
                  <c:v>0.616</c:v>
                </c:pt>
                <c:pt idx="19">
                  <c:v>0.48101</c:v>
                </c:pt>
                <c:pt idx="20">
                  <c:v>0.36842</c:v>
                </c:pt>
              </c:numCache>
            </c:numRef>
          </c:val>
          <c:smooth val="0"/>
        </c:ser>
        <c:dLbls>
          <c:showLegendKey val="0"/>
          <c:showVal val="0"/>
          <c:showCatName val="0"/>
          <c:showSerName val="0"/>
          <c:showPercent val="0"/>
          <c:showBubbleSize val="0"/>
        </c:dLbls>
        <c:marker val="0"/>
        <c:smooth val="0"/>
        <c:axId val="1245737376"/>
        <c:axId val="1245729216"/>
      </c:lineChart>
      <c:catAx>
        <c:axId val="124573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5729216"/>
        <c:crosses val="autoZero"/>
        <c:auto val="1"/>
        <c:lblAlgn val="ctr"/>
        <c:lblOffset val="100"/>
        <c:noMultiLvlLbl val="0"/>
      </c:catAx>
      <c:valAx>
        <c:axId val="124572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5737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27F00-AC78-453C-9F56-2A04ADD6B5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570</Words>
  <Characters>3250</Characters>
  <Lines>27</Lines>
  <Paragraphs>7</Paragraphs>
  <TotalTime>162</TotalTime>
  <ScaleCrop>false</ScaleCrop>
  <LinksUpToDate>false</LinksUpToDate>
  <CharactersWithSpaces>3813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2020-08-28T00:55:00Z</dcterms:created>
  <dc:creator>Windows 用户</dc:creator>
  <cp:lastModifiedBy>Administrator</cp:lastModifiedBy>
  <cp:lastPrinted>2020-08-28T00:58:00Z</cp:lastPrinted>
  <dcterms:modified xsi:type="dcterms:W3CDTF">2020-09-09T08:13:11Z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KSORubyTemplateID" linkTarget="0">
    <vt:lpwstr>6</vt:lpwstr>
  </property>
</Properties>
</file>