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p>
    <w:p>
      <w:pPr>
        <w:snapToGrid w:val="0"/>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以总书记重要论述为指引，探索建立解决相对贫困长效机制</w:t>
      </w:r>
    </w:p>
    <w:p>
      <w:pPr>
        <w:jc w:val="center"/>
        <w:rPr>
          <w:rFonts w:ascii="方正楷体_GBK" w:hAnsi="Times New Roman" w:eastAsia="方正楷体_GBK" w:cs="Times New Roman"/>
          <w:color w:val="000000" w:themeColor="text1"/>
          <w:sz w:val="32"/>
          <w:szCs w:val="32"/>
          <w14:textFill>
            <w14:solidFill>
              <w14:schemeClr w14:val="tx1"/>
            </w14:solidFill>
          </w14:textFill>
        </w:rPr>
      </w:pP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摘要：</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本文以习近平总书记关于扶贫工作重要论述和重要讲话精神为指引，围绕建立解决相对贫困长效机制主题，提出：应瞄准城乡相对贫困家庭、农村相对贫困村、城市相对贫困社区，采用“一达标两不愁六保障”多维相对贫困指标体系，采用上年度城乡居民人均可支配收入中位数的40%作为当年的相对贫困线并实行动态调整，采取全民公平教育、大病兜底医疗保障、扶志扶贫、动态监测预警提前干预等措施防范贫困发生，采取健全社会保障救济体系、强化就业扶贫和产业扶贫、统筹纳入乡村振兴战略、广泛动员社会力量参与等措施减贫扶贫，采取强化党的领导、优化调整扶贫机构、加大资金投入、推进依法减贫扶贫等措施保障相对贫困治理工作的推进。</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在社会主义初级阶段，扶贫是一个永恒的话题。习近平总书记在2020年3月6日决战决胜脱贫攻坚座谈会上指出“脱贫摘帽不是终点，而是新生活、新奋斗的起点”“要推动减贫战略和工作体系平稳转型，统筹纳入乡村振兴战略”；在2019年10月31日十九届四中全会上指出“坚决打赢脱贫攻坚战，建立解决相对贫困的长效机制”。遵照习近平总书记的指引，在今年决战决胜脱贫攻坚、全面建成小康社会目标即将实现之际，我们经过认真学习、深刻领悟习近平总书记关于扶贫工作重要论述和系列重要讲话精神，深入全区乡镇（街道）和贫困村开展调查研究，通过分析总结脱贫攻坚以来取得的成就，承前启后，提前探索、谋划2020年后如何实现减贫战略和工作体系平稳转型，如何建立解决相对贫困的长效机制，以期能将习近平总书记重要论述转化到减贫扶贫实践中。</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一、关于脱贫攻坚以来取得成就的分析总结</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武隆区自2015年脱贫攻坚以来，特别是2017年8月以来，全区上下始终坚持深入贯彻落实习近平总书记扶贫工作重要论述、在决战决胜脱贫攻坚座谈会上重要讲话、视察重庆重要讲话精神，坚决按照市委、市政府关于脱贫攻坚工作的各项决策部署，坚决落实“五级书记抓扶贫”“区县抓落实”和“双组长制”等工作机制，严格按照“一达标两不愁三保障”“四个不摘”“五个一批”“六个精准”等工作要求，举全区之力，以决战决胜的姿态，严格标准、不赶进度，注重质量、讲求实效，高质量打赢打好脱贫攻坚战，取得决定性成就，为实现全面建成小康社会目标奠定坚实基础。</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（一）脱贫攻坚目标任务如期完成</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作为新一轮国家扶贫开发工作重点县和武陵山区集中连片特殊困难地区贫困县，武隆区在脱贫攻坚之前的2014年，精准识别贫困人口15909户55449人，识别市级贫困村75个，贫困发生率为14.8%，贫困人口人均可支配收入仅为2215元。经过近年来的合力攻坚，到2017年11月，顺利退出了国家扶贫开发工作重点县，75个市级贫困村全部脱贫销号，实现了解决区域性整体贫困的目标任务；到2019年底，未脱贫人口减少到39户102人，贫困发生率下降到0.03%，平均每年减贫11000人；到2020年6月底，剩余贫困人口总体上达到脱贫标准。</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（二）贫困群众收入水平大幅度提高</w:t>
      </w:r>
      <w:bookmarkStart w:id="0" w:name="_GoBack"/>
      <w:bookmarkEnd w:id="0"/>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始终坚持开发式扶贫方针，鼓励和扶持贫困人口勤劳致富，产业到户扶持对有劳动能力的建档立卡贫困户实现全覆盖，强力实施培训转移就业和公益岗位开发工作，建卡贫困户工资性收入和生产经营性收入占比逐年上升，转移性收入占比逐年下降，自主脱贫能力稳步提高。2014年至2019年，全区农村常住居民人均可支配收入由8489元增加到14274元，年均增长10.95%，高于同期全国农民人均可支配收入平均增幅三个百分点；全区建档立卡贫困户人均可支配收入由2215元增加到10027元，年均增幅35.25%，高于同期全国建档立卡贫困户人均可支配收入平均增幅五个百分点。贫困群众“两不愁三保障”得到全面解决。</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（三）基本生产生活条件明显改善</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交通2018-2020三年行动“四好农村路”优化调整项目为555个1835公里，累计开工建设项目428个1447公里，总体工程进度完成1229公里，实现了每个行政村通硬（油）化路，具备条件的村民小组通达率100%、通畅率80%。严格执行中国水利学会颁布的《农村饮水安全评价准则》相关标准，实施农村饮水安全巩固提升工程，实现行政村自来水普及率100%，有效解决季节性缺水。实施贫困乡村农村电网改造升级，有效提升农村用电质量和可靠性。贫困群众出行难、用电难、上学难、看病难、通讯难等问题普遍解决，义务教育、基本医疗、住房安全和饮水安全有了保障。</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（四）经济社会发展明显加快</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坚持以脱贫攻坚统揽全区经济社会发展全局，全区呈现出新的发展局面。生态农业稳步发展，“2+6+N”山地特色高效农业体系初步形成；农村电商持续壮大，培育“寻味武隆”区域公共品牌和“五农人”等名优品牌，2019年实现网络零售额26.13亿元；乡村旅游迅猛提升，2019年乡村旅游接待户4000余户，接待床位达到4.6万张，接待游客1000万人次，综合收入20亿元。</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（五）贫困治理能力明显提升</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始终坚持抓党建促脱贫攻坚，落实“五级书记抓扶贫”“区县抓落实”和扶贫开发领导小组“双组长制”，75个贫困村选派驻村扶贫第一书记、组建驻村工作队实现全覆盖，基层组织得到加强，党在农村的执政基础得到巩固。全区39名市管领导干部、127个机关企事业单位、8912名党政干部组建26个扶贫集团结对帮扶26个乡镇街道75个贫困村15909户建卡贫困户实现全覆盖；开展脱贫攻坚“战疫情•送春风”活动和脱贫攻坚“百日大会战”，统筹做好疫情防控和脱贫攻坚工作。</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（六）脱贫攻坚经验做法得到认可和推广</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武隆区践行“两山论”“两化路”，在2020年全国“两会”期间，习近平总书记参加全国政协十三届会议经济界联组会时，在听取刘旗委员的专题汇报后，为武隆区走出的脱贫新路子“点赞”。为防范预警返贫和新生贫困发生，率先探索实施的脱贫攻坚“临界户”扶持政策，被新华社、七一网等主流媒体专题报道，并经国家扶贫办优化为“脱贫监测户”和“边缘户”政策在全国施行。后坪乡文凤村天池苗寨、沧沟乡大田湿地人家和青杠古渡驿站、火炉镇呐溪原乡、芙蓉街道堰塘七彩陶艺村、仙女山街道归原小镇、黄莺乡复兴田园、羊角街道永隆村和艳山红村、白马镇板桥村和茶山小镇等以乡村旅游主线的示范点，由市扶贫办向国务院扶贫办推荐申报全国扶贫交流基地。成功探索出“旅游+”“产业+”“电商+”等多种精准扶贫模式，变“输血式扶贫”为“造血式扶贫”，向党和人民交上了一份满意的脱贫攻坚武隆答卷。</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二、关于减贫战略和工作体系平稳转型的思考</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2020年是全面建成小康社会目标实现之年，是决战决胜脱贫攻坚收官之年。2020年之后减贫扶贫工作何去何从？习近平总书记在决战决胜脱贫攻坚座谈会上指出“脱贫摘帽不是终点，而是新生活、新奋斗的起点”“推动减贫战略和工作体系平稳转型，统筹纳入乡村振兴战略”，习近平总书记在十九届四中全会上提出“坚决打赢脱贫攻坚战，建立解决相对贫困的长效机制”，指明了平稳转型的战略方向。</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（一）推动减贫战略由集中作战向常规推进转变</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脱贫攻坚期间，全区始终坚持以脱贫攻坚统揽经济社会发展全局，脱贫攻坚是实施乡村振兴战略的优先任务。脱贫攻坚战结束后，全区工作战略重心和乡村振兴战略将不再以减贫工作为中心、为优先，减贫战将由集中攻坚战役向常规工作转变。要围绕制度性扶贫，优化完善相关政策和制度，加大基础性普惠性兜底性政策扶持力度，将减贫扶贫工作与乡村振兴战略、与社会保障救济机制统筹融合。</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（二）推动工作对象由以农村贫困人口为主向城乡相对贫困人口并重转变</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随着经济发展水平的提高和城市化进程的推进，农村贫困将逐步向城市转移，全区贫困分布将由农村贫困为主、城市贫困不突出向城市贫困和农村贫困并重的阶段性转变，因此，减贫扶贫工作对象将以农村贫困人口为主向农村相对贫困人口和城市相对贫困人口并重转变。接续当前农村脱贫攻坚，将扶持农村相对贫困工作，纳入乡村振兴战略统筹推进；聚焦城镇以传统“三无”人群、下岗和失业工人、进城农民工为主的城市相对贫困人口，作为城市减贫主要对象；统筹推进城乡扶贫开发，同时，理性兼顾城乡差距的客观实际，在识别和扶持标准上在总体一致的基础上实行差异化政策。</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（三）推动扶贫标准体系由绝对贫困向相对贫困和多维贫困转变</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脱贫攻坚战结束，全区消除了绝对贫困，但相对贫困仍将长期存在。届时，将聚焦相对贫困，实现由绝对贫困治理向相对贫困治理的转变；在扶贫标准上，向更高标准的相对贫困线看齐，将由绝对数值向相对比例转变，并逐年随经济社会发展动态调整和相应提高；指标体系上，将在继续关注收入贫困的基础上，同时兼顾因病、因学、因残、因灾、因疫情影响等引发的刚性支出，更加重视多维贫困，实现由收入贫困治理向多维贫困治理的转变。</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（四）推动区域扶贫对象由贫困区县向相对贫困村（社区）转变</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全区脱贫摘帽和75个贫困村销号后，区域性整体贫困基本解决，因此，扶贫对象将更加精准地瞄准更小单元，由区县为单元向村（社区）为单元转变。扶贫开发主战场将转向发展相对滞后、条件相对较差的农村行政村和城市社区，工作重点转向支持基层阵地提升、村级集体经济、乡村治理、精神文明等更高层次发展内容，着力于行政村（社区）的统筹协调发展。</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（五）推动治理路径由事后扶贫向事前防贫转变</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贫困治理路径及理念将发生转变，治理关口将前移，治理工作将由脱贫攻坚战期间的事后扶贫、脱贫转变为更加关注事前防贫、预警，工作重心着力于防止贫困发生，而不是等贫困发生后再去扶贫、减贫。将采取从儿童抓起的公平教育、以大病兜底为主的医疗保障、以社会福利为主的社会保障救济体系等诸多综合性措施防止贫困发生，前两项措施重在防贫，后一项措施重在减贫并将成为减贫工作中相当重要的一项常规性工作。</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（六）推动脱贫攻坚作为乡村振兴战略优先任务向将解决相对贫困统筹纳入乡村振兴战略转变</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将解决相对贫困问题纳入实施乡村振兴战略统筹安排。一方面利用乡村振兴战略机遇实现脱贫攻坚成果巩固和纵深发展，利用乡村振兴战略的实施，补齐农村相对贫困村在公共基础设施、供水保障、人居环境、农村教育、医疗卫生、社会保障、公共服务、生态环境等方面的短板；另一方面立足更高标准，结合乡村振兴战略“产业兴旺”“生态宜居”“乡风文明”要求，针对增收致富、住房安全、内生动力等问题，优先扶持、解决农村居民相对贫困问题。</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三、关于建立解决相对贫困长效机制的建议</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为接续全区脱贫攻坚工作，围绕扶贫对象从绝对贫困向相对贫困转变、扶贫治理模式从扶贫到防贫转变、扶贫重心从农村扶贫向城乡统筹扶贫转变这三个关键性转变，实现减贫战略和工作体系平稳转型，完善有利于相对贫困村（社区）、相对贫困人群的减贫防贫战略和政策体系，推动2020年后建立解决相对贫困长效机制，结合武隆区实际，探索提出如下建议。</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（一）工作对象瞄准城乡相对贫困户和相对贫困村（社区）</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城乡相对贫困户。因疾病治疗、教育支出、因残治疗、无劳动力造成家庭经济困难，收入达标，不愁吃、不愁穿，全阶段教育、基本医疗、住房安全、饮水安全、基本养老、就业有保障等“一达标两不愁六保障”未解决的农村和城市家庭，作为微观减贫工作对象，称为相对贫困户（或低收入家庭）。</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相对贫困村（社区）。在农村地区和城市中，相对贫困人口较多，贫困发生率较高，基础设施建设相对滞后，公共服务发展工作推进效果相对有差距的行政村或社区，作为宏观扶贫工作对象，在农村地区的称为相对贫困村，在城市区域的称为相对贫困社区。</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（二）扶贫标准采用相对贫困和多维贫困指标体系</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新的扶贫标准，坚持相对贫困和多维贫困理念，继续沿用并拓展现有贫困指标体系为“一达标两不愁六保障”（“一达标”即收入达标，“两不愁”即不愁吃、不愁穿，“六保障”即全阶段教育、基本医疗、住房安全、饮水安全、基本养老、就业有保障）。在识别相对贫困户时，不仅要将相对贫困线这个收入线作为重要衡量依据，而且还要综合考虑因病、因学、因残、缺劳等刚性或重大支出致贫因素，从多个维度精准定位相对贫困人口。结合城乡差异的客观实际，制定差异化的城市、农村相对贫困线。城市、农村分别采用区统计局公布的上年度全区城市、农村居民人均可支配收入中位数的40%作为当年的相对贫困线，每年根据城乡居乡人均可支配收入中位数年的变化而进行动态调整。</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（三）健全减贫对象精准识别和提前预警机制</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在建档立卡时，统筹运用和共享相关部门大数据，对低收入人口有关重要信息利用精准扶贫大数据平台，由大数据管理部门牵头，强化与公安、住房城乡建设、教育、卫生健康、医保、市场监管、人力社保、财政、民政、残联等部门的数据共享与比对，提高数据精准度。为确保识别的精准度，要求相对贫困户在提出申请时，承诺将家庭及相关直系亲属的户籍、银行、房产、车辆等相关信息公开，允许或授权区级部门查询和进行大数据比对。识别时，可结合村规民约，兼顾奖勤罚懒，营造健康、正向的扶贫风尚。建立扶贫对象动态管理和预警监测机制。适时修订完善“边缘户”监测标准和帮扶政策，对脱贫不稳定人口和边缘易致贫人口进行动态监测预警，采用综合性帮扶措施进行提前干预，做好防范返贫和防止新生贫困工作。</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（四）提升教育水平阻断贫困代际传递</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围绕缩小差距、力促公平和提高质量主题，用抢救性的思维来解决贫困的代际传递问题。从学前教育入手，以农村为重点提升学前教育普及水平，建立更为完善的学前教育管理体制、办园体制和投入体制。持续提升义务教育均等化水平，推进学校之间和城乡之间义务教育均衡发展。将进城务工人员随迁子女义务教育纳入城镇发展规划，保障其平等受教育权利。强化控辍保学工作，确保义务教育阶段无辍学现象，精准落实教育资助政策，确保相对贫困子女学前、初等、中等、高等等教育阶段上学有保障。建议从国家层面加大高校建设力度，适时试点探索全民兜底高等教育，实行“宽进严出”，提高教育全民性和公平性。建议市级层面实行贫困家庭子女高考加分和优先录取政策，将建卡相对贫困家庭子女纳入高考加分项目管理，对建卡相对贫困家庭子女，在考试总成绩基础上增加10分投档，并在与一般考生成绩相同或相近时，优先录取。</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（五）提高医疗保障水平防范因病致贫</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坚持普惠政策与特惠措施相结合的原则。探索建立基本医保、大病保险、医疗救助、补充医疗保险、社会慈善救济“五位一体”医疗保障体系且对城乡居民实现全覆盖。坚持“保基本、兜底线”要求，精准落实健康扶贫政策，实现相对贫困人口基本医疗有保障。提高城乡居民医疗保障受益水平，稳步提高住院和大病、特殊慢性病门诊的医疗费用个人实际报销比例，实现健康公平及提高脆弱人群医疗服务可及性，防范因病返贫、因病致贫。在区级医疗机构设立健康扶贫专用窗口，对建卡相对贫困人口住院费用实行一站式结算。继续设立大病医疗基金，优化大病医疗救助政策，对城乡居民家庭因重病治疗导致家庭经济特别困难的，由大病医疗救助基金兜底保障。</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（六）强化就业扶贫保障城市相对贫困家庭收入</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一人就业、全家脱贫，增加就业是最有效最直接的脱贫方式。整合党校、扶贫、人力社保和职业教育中心等单位的各类资源，培育区级层面的相对贫困人口就业技能培训专业机构。通过开发岗位（含开发扶贫公益岗位）、劳务协作、技能培训、权益维护等措施，帮助有就业意愿、未就业的相对贫困劳动力转移就业，帮助已就业相对贫困劳动力稳定就业，帮助相对贫困家庭未升学初、高中毕业生就读技工院校毕业后实现技能就业，实现有劳动力的城市相对贫困家庭零就业清零目标。鼓励相对贫困人口，特别是城市相对贫困人口自主创业，对相对贫困人口自主创办微型企业、正常经营一年以上的，采取以奖代补、先建后补形式进行扶持。对吸纳相对贫困人口稳定就业的企业，根据就业相对贫困人数、就业年限给予企业补助，促进企业优先为相对贫困人口提供就业机会。</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（七）强化产业扶贫保障农村相对贫困家庭收入</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深化农村相对贫困户产业到户扶持政策，采取以奖代补、先建后补的形式激励有劳动力的相对贫困户，围绕全区“2+6+N” 山地特色高效农业体系，通过自我发展种植、养殖、乡村旅游产业增收脱贫。具体扶持品种、环节、标准及方法，由区农业农村主管部门每年根据实际情况动态确定和实施。深化电商扶贫和消费扶贫，打通相对贫困户与大市场之间的壁垒，解决其农副产品销售难问题。培育壮大以区农业发展公司为主的农业产业化市场主体，发挥致富带头人作用，带动引领全区农业产业化发展。继续发挥重庆农村商业银行、区互助扶贫总会等金融机构作用，继续执行扶贫小额信贷政策。针对建卡相对贫困户继续坚持“5万元以下、3年期以内、免担保免抵押、基准利率放贷、财政贴息、建风险补偿金”政策要点，精准扶持发展生产。</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（八）建立完善综合性社会保障体系</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坚持“兜底线、织密网、建机制”要求，全面建成覆盖全民、城乡统筹、权责清晰、保障适度、可持续的多层次社会保障体系。继续实施城乡最低生活保障制度，聚焦无劳动力家庭、重度残疾人家庭、农转非“脱旧衣未穿新衣”困难家庭，按规定做到“应保尽保”。聚焦“水电气”等基本生活条件尚未解决的城市家庭，加大救济力度，帮助解决实际困难。围绕确保相对贫困人口养老有保障目标，完善以养老保险为主的社会保障养老制度，大幅提高农村居民和城市居民基本养老保险待遇，使养老金收入符合我区农村、城市生活水平实际。统筹城乡社会救助体系建设，不断提高社会救济水平，聚焦防贫减贫对象，筑牢社会救助兜底保障防线。</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（九）统筹纳入乡村振兴战略推进相对贫困村（社区）协调发展</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将解决农村相对贫困村问题纳入乡村振兴战略统筹安排，巩固“四好农村路”示范县创建成果、农村电网升级改造、行政村光纤网络和第四代移动通信网络普遍覆盖、扩大“互联网小镇”建设范围，补齐公共基础设施建设短板；推进沙河、龙宝塘、车盘等水库建设、巩固提升农村饮水安全、推进城乡供水一体化、做好饮水水源水质监测，补齐供水保障短板；巩固提升、扩面推进“精品类”和“示范类”美丽宜居村庄、分类推进厕所革命、生活垃圾生活污水治理、开展村庄清洁“春夏秋冬”战役和绿化行动，补齐人居环境短板；推进畜禽粪污资源化利用、开展农药化肥减量化行动、启动农村水系综合整治试点，补齐农村生活环境治理短板。围绕社会事业发展、村级（社区）集体经济、以廉租房为重点的保障房建设、危房改造、基层阵地建设、组织振兴等重点领域，在融入乡村振兴战略的同时，结合老旧城区、棚户区改造，统筹推进农村相对贫困村、城市相对贫困社区全面协调发展。</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（十）深化“志智双扶”工作营造文明健康风尚</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继续推进以“孝贤洁序”为主题的公序良俗建设。优化村规民约，推广艳山红村“红九条”“黑九条”先进经验做法，健全村民议事会、红白理事会、道德评议会、乡贤明理堂等，深化移风易俗专项治理。持续开展敬老孝老主题活动，强化舆论正向引导，杜绝和惩诫有赡养能力的子女让老年人独居、将老年人推向社会的现象。推广后坪乡白石村法治扶贫先进经验做法。继续实施财政涉农资金“五改”工作，除低保、救济外杜绝直接发钱发物行为，防止政策“养懒汉”。继续推行区级部门向贫困村（社区）选派驻村（社区）扶贫第一书记，强化基层组织建设和引领乡风文明。</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（十一）强化社会扶贫工作</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向国家和市上建议，继续开展东西部扶贫协作、国家中央机关定点帮扶、市级扶贫集团和市内区县对口帮扶工作，深化区域合作，推进东部地区产业向我区梯度转移，实现产业互补、人员互动、技术互学、观念互通、作风互鉴，共同发展。根据新确定的农村相对贫困村、城市相对贫困社区，继续落实区级领导联系相对贫困村（社区）机制，调整优化区级扶贫集团帮扶工作，继续落实区级部门、乡镇街道党政干部联系帮扶相对贫困户机制，实现相对贫困户帮扶全覆盖。充分发挥区扶贫基金会、区慈善总会、区红十字会扶贫公益慈善职能，广泛动员社会力量更多地参与防贫减贫事业。</w:t>
      </w: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（十二）落实组织保障工作</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加强党对减贫防贫工作的领导。向国家和市上建议，继续坚持中央统筹、省负总责、县抓落实的管理体制，对接脱贫攻坚责任体系，继续实行“五级书记抓扶贫”和党政一把手负总责的扶贫开发工作责任制，统筹解决农村和城镇化进程中的相对贫困问题。</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改革优化扶贫工作机构。建议统筹建立集扶贫、减贫、防贫职能为一体的统一的城乡扶贫组织机构，统一管理农村扶贫和城市扶贫，实现减贫与社会保障和救济融为一体，减贫职能由多部门分散型向统一集中型转化。</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加大财政资金支持。建议中央财政、市级财政继续安排专项资金支持基层防贫减贫事业，并按财税增长幅度逐年增加资金额度。区级财政参照现行机制每年配套预算扶贫专项资金。建立减贫防贫专项基金，专项用于相对贫困人口因病、因学、因残、因灾、因房等方面的刚性大额支出兜底保障。健全重点相对贫困村（社区）和深度贫困对象挂牌督战制度。鼓励社会力量参与减贫事业并逐步提高社会扶贫资金在总扶贫资金中的份额。</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推进依法减贫扶贫。扶贫立法，刻不容缓。建议从市级层面修订完善《重庆市农村扶贫条例》为《重庆市扶贫条例》，将城市扶贫统筹纳入条例中；建议从国家层面将减贫防贫事业写入宪法，并探索开展国家《扶贫法》立法工作，实现依法减贫防贫。</w:t>
      </w:r>
    </w:p>
    <w:p>
      <w:pPr>
        <w:spacing w:line="594" w:lineRule="exact"/>
        <w:ind w:firstLine="640" w:firstLineChars="200"/>
        <w:rPr>
          <w:rFonts w:hint="eastAsia" w:ascii="方正仿宋_GB18030" w:hAnsi="方正仿宋_GB18030" w:eastAsia="方正仿宋_GB18030" w:cs="方正仿宋_GB18030"/>
          <w:color w:val="000000" w:themeColor="text1"/>
          <w:sz w:val="32"/>
          <w:szCs w:val="32"/>
          <w14:textFill>
            <w14:solidFill>
              <w14:schemeClr w14:val="tx1"/>
            </w14:solidFill>
          </w14:textFill>
        </w:rPr>
      </w:pPr>
    </w:p>
    <w:sectPr>
      <w:footerReference r:id="rId3" w:type="default"/>
      <w:footerReference r:id="rId4" w:type="even"/>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18030">
    <w:altName w:val="仿宋"/>
    <w:panose1 w:val="03000509000000000000"/>
    <w:charset w:val="86"/>
    <w:family w:val="auto"/>
    <w:pitch w:val="default"/>
    <w:sig w:usb0="00000000" w:usb1="00000000" w:usb2="00000000" w:usb3="00000000" w:csb0="003C0041" w:csb1="A008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rFonts w:hint="eastAsia" w:ascii="Times New Roman" w:hAnsi="Times New Roman" w:cs="Times New Roman"/>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r>
      <w:rPr>
        <w:rFonts w:hint="eastAsia"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C7"/>
    <w:rsid w:val="00035288"/>
    <w:rsid w:val="000F60A0"/>
    <w:rsid w:val="00184C37"/>
    <w:rsid w:val="00200F29"/>
    <w:rsid w:val="00211FE5"/>
    <w:rsid w:val="0026263E"/>
    <w:rsid w:val="00344352"/>
    <w:rsid w:val="0038693A"/>
    <w:rsid w:val="003F4AC7"/>
    <w:rsid w:val="00472036"/>
    <w:rsid w:val="004A619C"/>
    <w:rsid w:val="00531FAB"/>
    <w:rsid w:val="00625D6F"/>
    <w:rsid w:val="006477DB"/>
    <w:rsid w:val="00706549"/>
    <w:rsid w:val="007102E6"/>
    <w:rsid w:val="00756CDD"/>
    <w:rsid w:val="007744BA"/>
    <w:rsid w:val="00787C00"/>
    <w:rsid w:val="00817335"/>
    <w:rsid w:val="0084322A"/>
    <w:rsid w:val="008F1B1F"/>
    <w:rsid w:val="009A3946"/>
    <w:rsid w:val="009C0D13"/>
    <w:rsid w:val="00AF1FEA"/>
    <w:rsid w:val="00B31E7A"/>
    <w:rsid w:val="00C6289D"/>
    <w:rsid w:val="00D62D0C"/>
    <w:rsid w:val="00D93025"/>
    <w:rsid w:val="00DB5ED8"/>
    <w:rsid w:val="00E76BA1"/>
    <w:rsid w:val="00E90A82"/>
    <w:rsid w:val="10826D71"/>
    <w:rsid w:val="1E3066AF"/>
    <w:rsid w:val="20CD73C4"/>
    <w:rsid w:val="2BCB3975"/>
    <w:rsid w:val="2C2D26E1"/>
    <w:rsid w:val="3DBF0516"/>
    <w:rsid w:val="4BA50EDF"/>
    <w:rsid w:val="630374BC"/>
    <w:rsid w:val="69093EC3"/>
    <w:rsid w:val="6D882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ind w:firstLine="640" w:firstLineChars="200"/>
      <w:outlineLvl w:val="0"/>
    </w:pPr>
    <w:rPr>
      <w:rFonts w:ascii="方正黑体_GBK" w:hAnsi="Times New Roman" w:eastAsia="方正黑体_GBK" w:cs="Times New Roman"/>
      <w:sz w:val="32"/>
      <w:szCs w:val="32"/>
    </w:rPr>
  </w:style>
  <w:style w:type="paragraph" w:styleId="3">
    <w:name w:val="heading 2"/>
    <w:basedOn w:val="1"/>
    <w:next w:val="1"/>
    <w:link w:val="17"/>
    <w:qFormat/>
    <w:uiPriority w:val="9"/>
    <w:pPr>
      <w:ind w:firstLine="640" w:firstLineChars="200"/>
      <w:outlineLvl w:val="1"/>
    </w:pPr>
    <w:rPr>
      <w:rFonts w:ascii="方正楷体_GBK" w:hAnsi="Times New Roman" w:eastAsia="方正楷体_GBK" w:cs="Times New Roman"/>
      <w:sz w:val="32"/>
      <w:szCs w:val="32"/>
    </w:rPr>
  </w:style>
  <w:style w:type="paragraph" w:styleId="4">
    <w:name w:val="heading 3"/>
    <w:basedOn w:val="1"/>
    <w:next w:val="1"/>
    <w:link w:val="19"/>
    <w:qFormat/>
    <w:uiPriority w:val="9"/>
    <w:pPr>
      <w:ind w:firstLine="640" w:firstLineChars="200"/>
      <w:outlineLvl w:val="2"/>
    </w:pPr>
    <w:rPr>
      <w:rFonts w:ascii="方正楷体_GBK" w:hAnsi="Times New Roman" w:eastAsia="方正楷体_GBK" w:cs="Times New Roman"/>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1"/>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0"/>
    <w:qFormat/>
    <w:uiPriority w:val="99"/>
    <w:pPr>
      <w:snapToGrid w:val="0"/>
      <w:jc w:val="left"/>
    </w:pPr>
    <w:rPr>
      <w:sz w:val="18"/>
      <w:szCs w:val="18"/>
    </w:rPr>
  </w:style>
  <w:style w:type="character" w:styleId="12">
    <w:name w:val="annotation reference"/>
    <w:basedOn w:val="11"/>
    <w:qFormat/>
    <w:uiPriority w:val="0"/>
    <w:rPr>
      <w:sz w:val="21"/>
      <w:szCs w:val="21"/>
    </w:rPr>
  </w:style>
  <w:style w:type="character" w:styleId="13">
    <w:name w:val="footnote reference"/>
    <w:basedOn w:val="11"/>
    <w:qFormat/>
    <w:uiPriority w:val="99"/>
    <w:rPr>
      <w:vertAlign w:val="superscript"/>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标题 1 Char"/>
    <w:basedOn w:val="11"/>
    <w:link w:val="2"/>
    <w:qFormat/>
    <w:uiPriority w:val="9"/>
    <w:rPr>
      <w:rFonts w:ascii="方正黑体_GBK" w:hAnsi="Times New Roman" w:eastAsia="方正黑体_GBK" w:cs="Times New Roman"/>
      <w:sz w:val="32"/>
      <w:szCs w:val="32"/>
    </w:rPr>
  </w:style>
  <w:style w:type="character" w:customStyle="1" w:styleId="17">
    <w:name w:val="标题 2 Char"/>
    <w:basedOn w:val="11"/>
    <w:link w:val="3"/>
    <w:qFormat/>
    <w:uiPriority w:val="9"/>
    <w:rPr>
      <w:rFonts w:ascii="方正楷体_GBK" w:hAnsi="Times New Roman" w:eastAsia="方正楷体_GBK" w:cs="Times New Roman"/>
      <w:sz w:val="32"/>
      <w:szCs w:val="32"/>
    </w:rPr>
  </w:style>
  <w:style w:type="paragraph" w:styleId="18">
    <w:name w:val="List Paragraph"/>
    <w:basedOn w:val="1"/>
    <w:qFormat/>
    <w:uiPriority w:val="34"/>
    <w:pPr>
      <w:ind w:firstLine="420" w:firstLineChars="200"/>
    </w:pPr>
  </w:style>
  <w:style w:type="character" w:customStyle="1" w:styleId="19">
    <w:name w:val="标题 3 Char"/>
    <w:basedOn w:val="11"/>
    <w:link w:val="4"/>
    <w:qFormat/>
    <w:uiPriority w:val="9"/>
    <w:rPr>
      <w:rFonts w:ascii="方正楷体_GBK" w:hAnsi="Times New Roman" w:eastAsia="方正楷体_GBK" w:cs="Times New Roman"/>
      <w:sz w:val="32"/>
      <w:szCs w:val="32"/>
    </w:rPr>
  </w:style>
  <w:style w:type="character" w:customStyle="1" w:styleId="20">
    <w:name w:val="脚注文本 Char"/>
    <w:basedOn w:val="11"/>
    <w:link w:val="9"/>
    <w:uiPriority w:val="99"/>
    <w:rPr>
      <w:rFonts w:ascii="Calibri" w:hAnsi="Calibri" w:eastAsia="宋体" w:cs="宋体"/>
      <w:sz w:val="18"/>
      <w:szCs w:val="18"/>
    </w:rPr>
  </w:style>
  <w:style w:type="character" w:customStyle="1" w:styleId="21">
    <w:name w:val="批注框文本 Char"/>
    <w:basedOn w:val="11"/>
    <w:link w:val="6"/>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DAE0D-927D-4B0D-8DBC-4775E1196F80}">
  <ds:schemaRefs/>
</ds:datastoreItem>
</file>

<file path=docProps/app.xml><?xml version="1.0" encoding="utf-8"?>
<Properties xmlns="http://schemas.openxmlformats.org/officeDocument/2006/extended-properties" xmlns:vt="http://schemas.openxmlformats.org/officeDocument/2006/docPropsVTypes">
  <Template>Normal</Template>
  <Pages>15</Pages>
  <Words>1281</Words>
  <Characters>7308</Characters>
  <Lines>60</Lines>
  <Paragraphs>17</Paragraphs>
  <TotalTime>44</TotalTime>
  <ScaleCrop>false</ScaleCrop>
  <LinksUpToDate>false</LinksUpToDate>
  <CharactersWithSpaces>8572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2020-04-22T02:34:00Z</dcterms:created>
  <dc:creator>duqinglu</dc:creator>
  <cp:lastModifiedBy>Administrator</cp:lastModifiedBy>
  <dcterms:modified xsi:type="dcterms:W3CDTF">2020-11-10T07:48:10Z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